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0E1" w:rsidRDefault="00D56DAA">
      <w:pPr>
        <w:pStyle w:val="BodyText"/>
        <w:rPr>
          <w:rFonts w:ascii="Times New Roman"/>
        </w:rPr>
      </w:pPr>
      <w:r>
        <w:rPr>
          <w:noProof/>
        </w:rPr>
        <w:drawing>
          <wp:anchor distT="0" distB="0" distL="0" distR="0" simplePos="0" relativeHeight="268419575" behindDoc="1" locked="0" layoutInCell="1" allowOverlap="1">
            <wp:simplePos x="0" y="0"/>
            <wp:positionH relativeFrom="page">
              <wp:posOffset>440421</wp:posOffset>
            </wp:positionH>
            <wp:positionV relativeFrom="page">
              <wp:posOffset>1076579</wp:posOffset>
            </wp:positionV>
            <wp:extent cx="6704189" cy="91998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704189" cy="9199853"/>
                    </a:xfrm>
                    <a:prstGeom prst="rect">
                      <a:avLst/>
                    </a:prstGeom>
                  </pic:spPr>
                </pic:pic>
              </a:graphicData>
            </a:graphic>
          </wp:anchor>
        </w:drawing>
      </w: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rPr>
      </w:pPr>
    </w:p>
    <w:p w:rsidR="001250E1" w:rsidRDefault="001250E1">
      <w:pPr>
        <w:pStyle w:val="BodyText"/>
        <w:rPr>
          <w:rFonts w:ascii="Times New Roman"/>
          <w:sz w:val="29"/>
        </w:rPr>
      </w:pPr>
    </w:p>
    <w:p w:rsidR="001250E1" w:rsidRDefault="00D56DAA">
      <w:pPr>
        <w:spacing w:before="100"/>
        <w:ind w:left="2636" w:right="2927"/>
        <w:jc w:val="center"/>
        <w:rPr>
          <w:sz w:val="36"/>
        </w:rPr>
      </w:pPr>
      <w:r>
        <w:rPr>
          <w:color w:val="002060"/>
          <w:sz w:val="36"/>
        </w:rPr>
        <w:t>Directors’ Remuneration Policy</w:t>
      </w:r>
    </w:p>
    <w:p w:rsidR="001250E1" w:rsidRDefault="00D56DAA">
      <w:pPr>
        <w:spacing w:before="200"/>
        <w:ind w:left="2636" w:right="2921"/>
        <w:jc w:val="center"/>
        <w:rPr>
          <w:sz w:val="28"/>
        </w:rPr>
      </w:pPr>
      <w:r>
        <w:rPr>
          <w:color w:val="002060"/>
          <w:sz w:val="28"/>
        </w:rPr>
        <w:t xml:space="preserve">Adopted </w:t>
      </w:r>
      <w:r w:rsidR="00FA780E">
        <w:rPr>
          <w:color w:val="002060"/>
          <w:sz w:val="28"/>
        </w:rPr>
        <w:t>17</w:t>
      </w:r>
      <w:r w:rsidR="00FA780E" w:rsidRPr="00FA780E">
        <w:rPr>
          <w:color w:val="002060"/>
          <w:sz w:val="28"/>
          <w:vertAlign w:val="superscript"/>
        </w:rPr>
        <w:t>th</w:t>
      </w:r>
      <w:r w:rsidR="00FA780E">
        <w:rPr>
          <w:color w:val="002060"/>
          <w:sz w:val="28"/>
        </w:rPr>
        <w:t xml:space="preserve"> </w:t>
      </w:r>
      <w:bookmarkStart w:id="0" w:name="_GoBack"/>
      <w:bookmarkEnd w:id="0"/>
      <w:r>
        <w:rPr>
          <w:color w:val="002060"/>
          <w:sz w:val="28"/>
        </w:rPr>
        <w:t>September 2019</w:t>
      </w:r>
    </w:p>
    <w:p w:rsidR="001250E1" w:rsidRDefault="001250E1">
      <w:pPr>
        <w:jc w:val="center"/>
        <w:rPr>
          <w:sz w:val="28"/>
        </w:rPr>
        <w:sectPr w:rsidR="001250E1">
          <w:type w:val="continuous"/>
          <w:pgSz w:w="11910" w:h="16840"/>
          <w:pgMar w:top="1580" w:right="560" w:bottom="280" w:left="900" w:header="720" w:footer="720" w:gutter="0"/>
          <w:cols w:space="720"/>
        </w:sectPr>
      </w:pPr>
    </w:p>
    <w:p w:rsidR="001250E1" w:rsidRDefault="00D56DAA">
      <w:pPr>
        <w:pStyle w:val="Heading1"/>
        <w:spacing w:before="74"/>
        <w:ind w:left="112" w:firstLine="0"/>
      </w:pPr>
      <w:r>
        <w:lastRenderedPageBreak/>
        <w:t>2019 Directors’ Remuneration Policy</w:t>
      </w:r>
    </w:p>
    <w:p w:rsidR="001250E1" w:rsidRDefault="001250E1">
      <w:pPr>
        <w:pStyle w:val="BodyText"/>
        <w:rPr>
          <w:b/>
          <w:sz w:val="24"/>
        </w:rPr>
      </w:pPr>
    </w:p>
    <w:p w:rsidR="001250E1" w:rsidRDefault="00D56DAA">
      <w:pPr>
        <w:pStyle w:val="BodyText"/>
        <w:spacing w:before="191"/>
        <w:ind w:left="112" w:right="148"/>
        <w:jc w:val="both"/>
      </w:pPr>
      <w:r>
        <w:t>The 2019 Directors’ Remuneration Policy (the “</w:t>
      </w:r>
      <w:r>
        <w:rPr>
          <w:b/>
        </w:rPr>
        <w:t>Remuneration Policy</w:t>
      </w:r>
      <w:r>
        <w:t>”) was approved at a general meeting of the shareholders of the Company held in September 2019 (the “</w:t>
      </w:r>
      <w:r>
        <w:rPr>
          <w:b/>
        </w:rPr>
        <w:t>General Meeting</w:t>
      </w:r>
      <w:r>
        <w:t>”) and took effect immediately upon receipt of such approval.</w:t>
      </w:r>
    </w:p>
    <w:p w:rsidR="001250E1" w:rsidRDefault="00D56DAA">
      <w:pPr>
        <w:pStyle w:val="BodyText"/>
        <w:spacing w:before="121"/>
        <w:ind w:left="112"/>
      </w:pPr>
      <w:r>
        <w:t xml:space="preserve">The Remuneration Policy is available on the Company’s website at: </w:t>
      </w:r>
      <w:hyperlink r:id="rId6">
        <w:r>
          <w:rPr>
            <w:color w:val="0563C1"/>
            <w:u w:val="single" w:color="0563C1"/>
          </w:rPr>
          <w:t>www.johnmenziesplc.com</w:t>
        </w:r>
      </w:hyperlink>
    </w:p>
    <w:p w:rsidR="001250E1" w:rsidRDefault="00D56DAA">
      <w:pPr>
        <w:pStyle w:val="Heading1"/>
        <w:spacing w:before="121"/>
        <w:ind w:left="112" w:firstLine="0"/>
      </w:pPr>
      <w:r>
        <w:t>Directors’ Remuneration: Principles</w:t>
      </w:r>
    </w:p>
    <w:p w:rsidR="001250E1" w:rsidRDefault="00D56DAA">
      <w:pPr>
        <w:pStyle w:val="BodyText"/>
        <w:spacing w:before="118"/>
        <w:ind w:left="112" w:right="147"/>
        <w:jc w:val="both"/>
      </w:pPr>
      <w:r>
        <w:t>The Remuneration Policy has been developed to ensure that the Company is well-placed to attract, retain and motivate its Executive Directors with the ability and experience necessary to run the John Menzies plc Group (the “</w:t>
      </w:r>
      <w:r>
        <w:rPr>
          <w:b/>
        </w:rPr>
        <w:t>Group</w:t>
      </w:r>
      <w:r>
        <w:t>”) successfully, whilst also aligning executive remuneration with the financial returns of its shareholders.</w:t>
      </w:r>
    </w:p>
    <w:p w:rsidR="001250E1" w:rsidRDefault="001250E1">
      <w:pPr>
        <w:pStyle w:val="BodyText"/>
      </w:pPr>
    </w:p>
    <w:p w:rsidR="001250E1" w:rsidRDefault="001250E1">
      <w:pPr>
        <w:pStyle w:val="BodyText"/>
        <w:spacing w:before="11"/>
        <w:rPr>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52"/>
        <w:gridCol w:w="2552"/>
        <w:gridCol w:w="2552"/>
      </w:tblGrid>
      <w:tr w:rsidR="001250E1">
        <w:trPr>
          <w:trHeight w:val="652"/>
        </w:trPr>
        <w:tc>
          <w:tcPr>
            <w:tcW w:w="2554" w:type="dxa"/>
          </w:tcPr>
          <w:p w:rsidR="001250E1" w:rsidRDefault="00D56DAA">
            <w:pPr>
              <w:pStyle w:val="TableParagraph"/>
              <w:spacing w:before="2"/>
              <w:ind w:right="668"/>
              <w:rPr>
                <w:b/>
                <w:sz w:val="18"/>
              </w:rPr>
            </w:pPr>
            <w:r>
              <w:rPr>
                <w:b/>
                <w:sz w:val="18"/>
              </w:rPr>
              <w:t>Purpose and link to strategy</w:t>
            </w:r>
          </w:p>
        </w:tc>
        <w:tc>
          <w:tcPr>
            <w:tcW w:w="2552" w:type="dxa"/>
          </w:tcPr>
          <w:p w:rsidR="001250E1" w:rsidRDefault="00D56DAA">
            <w:pPr>
              <w:pStyle w:val="TableParagraph"/>
              <w:spacing w:before="2"/>
              <w:rPr>
                <w:b/>
                <w:sz w:val="18"/>
              </w:rPr>
            </w:pPr>
            <w:r>
              <w:rPr>
                <w:b/>
                <w:sz w:val="18"/>
              </w:rPr>
              <w:t>Operation</w:t>
            </w:r>
          </w:p>
        </w:tc>
        <w:tc>
          <w:tcPr>
            <w:tcW w:w="2552" w:type="dxa"/>
          </w:tcPr>
          <w:p w:rsidR="001250E1" w:rsidRDefault="00D56DAA">
            <w:pPr>
              <w:pStyle w:val="TableParagraph"/>
              <w:spacing w:before="2"/>
              <w:ind w:left="106"/>
              <w:rPr>
                <w:b/>
                <w:sz w:val="18"/>
              </w:rPr>
            </w:pPr>
            <w:r>
              <w:rPr>
                <w:b/>
                <w:sz w:val="18"/>
              </w:rPr>
              <w:t>Maximum opportunity</w:t>
            </w:r>
          </w:p>
        </w:tc>
        <w:tc>
          <w:tcPr>
            <w:tcW w:w="2552" w:type="dxa"/>
          </w:tcPr>
          <w:p w:rsidR="001250E1" w:rsidRDefault="00D56DAA">
            <w:pPr>
              <w:pStyle w:val="TableParagraph"/>
              <w:spacing w:before="2"/>
              <w:ind w:left="105"/>
              <w:rPr>
                <w:b/>
                <w:sz w:val="18"/>
              </w:rPr>
            </w:pPr>
            <w:r>
              <w:rPr>
                <w:b/>
                <w:sz w:val="18"/>
              </w:rPr>
              <w:t>Performance metrics</w:t>
            </w:r>
          </w:p>
        </w:tc>
      </w:tr>
      <w:tr w:rsidR="001250E1">
        <w:trPr>
          <w:trHeight w:val="6837"/>
        </w:trPr>
        <w:tc>
          <w:tcPr>
            <w:tcW w:w="2554" w:type="dxa"/>
          </w:tcPr>
          <w:p w:rsidR="001250E1" w:rsidRDefault="00D56DAA">
            <w:pPr>
              <w:pStyle w:val="TableParagraph"/>
              <w:spacing w:line="217" w:lineRule="exact"/>
              <w:rPr>
                <w:b/>
                <w:sz w:val="18"/>
              </w:rPr>
            </w:pPr>
            <w:r>
              <w:rPr>
                <w:b/>
                <w:sz w:val="18"/>
              </w:rPr>
              <w:t>Basic Salary</w:t>
            </w:r>
          </w:p>
          <w:p w:rsidR="001250E1" w:rsidRDefault="00D56DAA">
            <w:pPr>
              <w:pStyle w:val="TableParagraph"/>
              <w:spacing w:before="1"/>
              <w:ind w:right="154"/>
              <w:rPr>
                <w:sz w:val="18"/>
              </w:rPr>
            </w:pPr>
            <w:r>
              <w:rPr>
                <w:sz w:val="18"/>
              </w:rPr>
              <w:t>Attract and retain high performing individuals, reflecting market value of role and Executive Directors’ skills and experience</w:t>
            </w:r>
          </w:p>
        </w:tc>
        <w:tc>
          <w:tcPr>
            <w:tcW w:w="2552" w:type="dxa"/>
          </w:tcPr>
          <w:p w:rsidR="001250E1" w:rsidRDefault="00D56DAA">
            <w:pPr>
              <w:pStyle w:val="TableParagraph"/>
              <w:spacing w:line="217" w:lineRule="exact"/>
              <w:rPr>
                <w:sz w:val="18"/>
              </w:rPr>
            </w:pPr>
            <w:r>
              <w:rPr>
                <w:sz w:val="18"/>
              </w:rPr>
              <w:t>Normally reviewed annually.</w:t>
            </w:r>
          </w:p>
          <w:p w:rsidR="001250E1" w:rsidRDefault="001250E1">
            <w:pPr>
              <w:pStyle w:val="TableParagraph"/>
              <w:spacing w:before="11"/>
              <w:ind w:left="0"/>
              <w:rPr>
                <w:sz w:val="17"/>
              </w:rPr>
            </w:pPr>
          </w:p>
          <w:p w:rsidR="001250E1" w:rsidRDefault="00D56DAA">
            <w:pPr>
              <w:pStyle w:val="TableParagraph"/>
              <w:spacing w:before="1"/>
              <w:ind w:right="152" w:hanging="1"/>
              <w:rPr>
                <w:sz w:val="18"/>
              </w:rPr>
            </w:pPr>
            <w:r>
              <w:rPr>
                <w:sz w:val="18"/>
              </w:rPr>
              <w:t xml:space="preserve">The Remuneration Committee takes into consideration </w:t>
            </w:r>
            <w:proofErr w:type="gramStart"/>
            <w:r>
              <w:rPr>
                <w:sz w:val="18"/>
              </w:rPr>
              <w:t>a number of</w:t>
            </w:r>
            <w:proofErr w:type="gramEnd"/>
            <w:r>
              <w:rPr>
                <w:sz w:val="18"/>
              </w:rPr>
              <w:t xml:space="preserve"> factors when setting salaries including (but not limited to):</w:t>
            </w:r>
          </w:p>
          <w:p w:rsidR="001250E1" w:rsidRDefault="00D56DAA">
            <w:pPr>
              <w:pStyle w:val="TableParagraph"/>
              <w:numPr>
                <w:ilvl w:val="0"/>
                <w:numId w:val="7"/>
              </w:numPr>
              <w:tabs>
                <w:tab w:val="left" w:pos="431"/>
                <w:tab w:val="left" w:pos="432"/>
              </w:tabs>
              <w:spacing w:before="1"/>
              <w:ind w:right="179"/>
              <w:rPr>
                <w:sz w:val="18"/>
              </w:rPr>
            </w:pPr>
            <w:r>
              <w:rPr>
                <w:sz w:val="18"/>
              </w:rPr>
              <w:t>the size and scope of</w:t>
            </w:r>
            <w:r>
              <w:rPr>
                <w:spacing w:val="-13"/>
                <w:sz w:val="18"/>
              </w:rPr>
              <w:t xml:space="preserve"> </w:t>
            </w:r>
            <w:r>
              <w:rPr>
                <w:sz w:val="18"/>
              </w:rPr>
              <w:t>an individual’s responsibilities;</w:t>
            </w:r>
          </w:p>
          <w:p w:rsidR="001250E1" w:rsidRDefault="00D56DAA">
            <w:pPr>
              <w:pStyle w:val="TableParagraph"/>
              <w:numPr>
                <w:ilvl w:val="0"/>
                <w:numId w:val="7"/>
              </w:numPr>
              <w:tabs>
                <w:tab w:val="left" w:pos="419"/>
                <w:tab w:val="left" w:pos="420"/>
              </w:tabs>
              <w:ind w:left="419" w:right="521" w:hanging="312"/>
              <w:rPr>
                <w:sz w:val="18"/>
              </w:rPr>
            </w:pPr>
            <w:r>
              <w:rPr>
                <w:sz w:val="18"/>
              </w:rPr>
              <w:t>an individual’s</w:t>
            </w:r>
            <w:r>
              <w:rPr>
                <w:spacing w:val="-13"/>
                <w:sz w:val="18"/>
              </w:rPr>
              <w:t xml:space="preserve"> </w:t>
            </w:r>
            <w:r>
              <w:rPr>
                <w:sz w:val="18"/>
              </w:rPr>
              <w:t>skills, experience and performance;</w:t>
            </w:r>
          </w:p>
          <w:p w:rsidR="001250E1" w:rsidRDefault="00D56DAA">
            <w:pPr>
              <w:pStyle w:val="TableParagraph"/>
              <w:numPr>
                <w:ilvl w:val="0"/>
                <w:numId w:val="7"/>
              </w:numPr>
              <w:tabs>
                <w:tab w:val="left" w:pos="431"/>
                <w:tab w:val="left" w:pos="432"/>
              </w:tabs>
              <w:ind w:right="233"/>
              <w:rPr>
                <w:sz w:val="18"/>
              </w:rPr>
            </w:pPr>
            <w:r>
              <w:rPr>
                <w:sz w:val="18"/>
              </w:rPr>
              <w:t>typical salary levels for comparable roles at appropriate comparator companies;</w:t>
            </w:r>
          </w:p>
          <w:p w:rsidR="001250E1" w:rsidRDefault="00D56DAA">
            <w:pPr>
              <w:pStyle w:val="TableParagraph"/>
              <w:numPr>
                <w:ilvl w:val="0"/>
                <w:numId w:val="7"/>
              </w:numPr>
              <w:tabs>
                <w:tab w:val="left" w:pos="431"/>
                <w:tab w:val="left" w:pos="432"/>
              </w:tabs>
              <w:ind w:right="200"/>
              <w:rPr>
                <w:sz w:val="18"/>
              </w:rPr>
            </w:pPr>
            <w:r>
              <w:rPr>
                <w:sz w:val="18"/>
              </w:rPr>
              <w:t>pay and conditions elsewhere in the</w:t>
            </w:r>
            <w:r>
              <w:rPr>
                <w:spacing w:val="-15"/>
                <w:sz w:val="18"/>
              </w:rPr>
              <w:t xml:space="preserve"> </w:t>
            </w:r>
            <w:r>
              <w:rPr>
                <w:sz w:val="18"/>
              </w:rPr>
              <w:t>Group; and</w:t>
            </w:r>
          </w:p>
          <w:p w:rsidR="001250E1" w:rsidRDefault="00D56DAA">
            <w:pPr>
              <w:pStyle w:val="TableParagraph"/>
              <w:numPr>
                <w:ilvl w:val="0"/>
                <w:numId w:val="7"/>
              </w:numPr>
              <w:tabs>
                <w:tab w:val="left" w:pos="431"/>
                <w:tab w:val="left" w:pos="432"/>
              </w:tabs>
              <w:ind w:right="803"/>
              <w:rPr>
                <w:sz w:val="18"/>
              </w:rPr>
            </w:pPr>
            <w:r>
              <w:rPr>
                <w:sz w:val="18"/>
              </w:rPr>
              <w:t xml:space="preserve">inflation in the relevant </w:t>
            </w:r>
            <w:r>
              <w:rPr>
                <w:spacing w:val="-3"/>
                <w:sz w:val="18"/>
              </w:rPr>
              <w:t>market.</w:t>
            </w:r>
          </w:p>
        </w:tc>
        <w:tc>
          <w:tcPr>
            <w:tcW w:w="2552" w:type="dxa"/>
          </w:tcPr>
          <w:p w:rsidR="001250E1" w:rsidRDefault="00D56DAA">
            <w:pPr>
              <w:pStyle w:val="TableParagraph"/>
              <w:ind w:left="106" w:right="118"/>
              <w:rPr>
                <w:sz w:val="18"/>
              </w:rPr>
            </w:pPr>
            <w:r>
              <w:rPr>
                <w:sz w:val="18"/>
              </w:rPr>
              <w:t>There is no maximum opportunity. Salary increases will normally be in line with the average increase awarded in the wider employee population. Higher increases may be made in certain circumstances and at the Remuneration Committee’s discretion. For example, this may include (but is not limited to):</w:t>
            </w:r>
          </w:p>
          <w:p w:rsidR="001250E1" w:rsidRDefault="00D56DAA">
            <w:pPr>
              <w:pStyle w:val="TableParagraph"/>
              <w:numPr>
                <w:ilvl w:val="0"/>
                <w:numId w:val="6"/>
              </w:numPr>
              <w:tabs>
                <w:tab w:val="left" w:pos="420"/>
                <w:tab w:val="left" w:pos="421"/>
              </w:tabs>
              <w:spacing w:before="1"/>
              <w:ind w:right="626" w:hanging="283"/>
              <w:rPr>
                <w:sz w:val="18"/>
              </w:rPr>
            </w:pPr>
            <w:r>
              <w:rPr>
                <w:sz w:val="18"/>
              </w:rPr>
              <w:t>increase in the scope and/or responsibility of</w:t>
            </w:r>
            <w:r>
              <w:rPr>
                <w:spacing w:val="-11"/>
                <w:sz w:val="18"/>
              </w:rPr>
              <w:t xml:space="preserve"> </w:t>
            </w:r>
            <w:r>
              <w:rPr>
                <w:sz w:val="18"/>
              </w:rPr>
              <w:t>an individual’s</w:t>
            </w:r>
            <w:r>
              <w:rPr>
                <w:spacing w:val="-3"/>
                <w:sz w:val="18"/>
              </w:rPr>
              <w:t xml:space="preserve"> </w:t>
            </w:r>
            <w:r>
              <w:rPr>
                <w:sz w:val="18"/>
              </w:rPr>
              <w:t>role;</w:t>
            </w:r>
          </w:p>
          <w:p w:rsidR="001250E1" w:rsidRDefault="00D56DAA">
            <w:pPr>
              <w:pStyle w:val="TableParagraph"/>
              <w:numPr>
                <w:ilvl w:val="0"/>
                <w:numId w:val="6"/>
              </w:numPr>
              <w:tabs>
                <w:tab w:val="left" w:pos="420"/>
                <w:tab w:val="left" w:pos="421"/>
              </w:tabs>
              <w:ind w:right="109" w:hanging="283"/>
              <w:rPr>
                <w:sz w:val="18"/>
              </w:rPr>
            </w:pPr>
            <w:r>
              <w:rPr>
                <w:sz w:val="18"/>
              </w:rPr>
              <w:t>development of an individual within the</w:t>
            </w:r>
            <w:r>
              <w:rPr>
                <w:spacing w:val="-14"/>
                <w:sz w:val="18"/>
              </w:rPr>
              <w:t xml:space="preserve"> </w:t>
            </w:r>
            <w:r>
              <w:rPr>
                <w:sz w:val="18"/>
              </w:rPr>
              <w:t>role;</w:t>
            </w:r>
          </w:p>
          <w:p w:rsidR="001250E1" w:rsidRDefault="00D56DAA">
            <w:pPr>
              <w:pStyle w:val="TableParagraph"/>
              <w:numPr>
                <w:ilvl w:val="0"/>
                <w:numId w:val="6"/>
              </w:numPr>
              <w:tabs>
                <w:tab w:val="left" w:pos="420"/>
                <w:tab w:val="left" w:pos="421"/>
              </w:tabs>
              <w:ind w:right="136" w:hanging="283"/>
              <w:rPr>
                <w:sz w:val="18"/>
              </w:rPr>
            </w:pPr>
            <w:r>
              <w:rPr>
                <w:sz w:val="18"/>
              </w:rPr>
              <w:t>corporate events such</w:t>
            </w:r>
            <w:r>
              <w:rPr>
                <w:spacing w:val="-10"/>
                <w:sz w:val="18"/>
              </w:rPr>
              <w:t xml:space="preserve"> </w:t>
            </w:r>
            <w:r>
              <w:rPr>
                <w:sz w:val="18"/>
              </w:rPr>
              <w:t>as a significant acquisition or Group restructuring which impacts the scope of a role;</w:t>
            </w:r>
            <w:r>
              <w:rPr>
                <w:spacing w:val="-2"/>
                <w:sz w:val="18"/>
              </w:rPr>
              <w:t xml:space="preserve"> </w:t>
            </w:r>
            <w:r>
              <w:rPr>
                <w:sz w:val="18"/>
              </w:rPr>
              <w:t>and</w:t>
            </w:r>
          </w:p>
          <w:p w:rsidR="001250E1" w:rsidRDefault="00D56DAA">
            <w:pPr>
              <w:pStyle w:val="TableParagraph"/>
              <w:numPr>
                <w:ilvl w:val="0"/>
                <w:numId w:val="6"/>
              </w:numPr>
              <w:tabs>
                <w:tab w:val="left" w:pos="420"/>
                <w:tab w:val="left" w:pos="421"/>
              </w:tabs>
              <w:spacing w:line="216" w:lineRule="exact"/>
              <w:ind w:hanging="283"/>
              <w:rPr>
                <w:sz w:val="18"/>
              </w:rPr>
            </w:pPr>
            <w:r>
              <w:rPr>
                <w:sz w:val="18"/>
              </w:rPr>
              <w:t>where it</w:t>
            </w:r>
            <w:r>
              <w:rPr>
                <w:spacing w:val="-3"/>
                <w:sz w:val="18"/>
              </w:rPr>
              <w:t xml:space="preserve"> </w:t>
            </w:r>
            <w:r>
              <w:rPr>
                <w:sz w:val="18"/>
              </w:rPr>
              <w:t>is</w:t>
            </w:r>
          </w:p>
          <w:p w:rsidR="001250E1" w:rsidRDefault="00D56DAA">
            <w:pPr>
              <w:pStyle w:val="TableParagraph"/>
              <w:spacing w:before="1"/>
              <w:ind w:left="420" w:right="131"/>
              <w:rPr>
                <w:sz w:val="18"/>
              </w:rPr>
            </w:pPr>
            <w:r>
              <w:rPr>
                <w:sz w:val="18"/>
              </w:rPr>
              <w:t>considered necessary for the retention of an Executive Director or to reflect significant changes in market practice.</w:t>
            </w:r>
          </w:p>
        </w:tc>
        <w:tc>
          <w:tcPr>
            <w:tcW w:w="2552" w:type="dxa"/>
          </w:tcPr>
          <w:p w:rsidR="001250E1" w:rsidRDefault="00D56DAA">
            <w:pPr>
              <w:pStyle w:val="TableParagraph"/>
              <w:ind w:left="105" w:right="214"/>
              <w:rPr>
                <w:sz w:val="18"/>
              </w:rPr>
            </w:pPr>
            <w:r>
              <w:rPr>
                <w:sz w:val="18"/>
              </w:rPr>
              <w:t xml:space="preserve">None, although individual and Group performance are factors </w:t>
            </w:r>
            <w:proofErr w:type="gramStart"/>
            <w:r>
              <w:rPr>
                <w:sz w:val="18"/>
              </w:rPr>
              <w:t>taken into account</w:t>
            </w:r>
            <w:proofErr w:type="gramEnd"/>
            <w:r>
              <w:rPr>
                <w:sz w:val="18"/>
              </w:rPr>
              <w:t xml:space="preserve"> when setting salaries.</w:t>
            </w:r>
          </w:p>
        </w:tc>
      </w:tr>
    </w:tbl>
    <w:p w:rsidR="001250E1" w:rsidRDefault="001250E1">
      <w:pPr>
        <w:rPr>
          <w:sz w:val="18"/>
        </w:rPr>
        <w:sectPr w:rsidR="001250E1">
          <w:pgSz w:w="11910" w:h="16840"/>
          <w:pgMar w:top="1560" w:right="560" w:bottom="280" w:left="900"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52"/>
        <w:gridCol w:w="2554"/>
        <w:gridCol w:w="2549"/>
      </w:tblGrid>
      <w:tr w:rsidR="001250E1">
        <w:trPr>
          <w:trHeight w:val="650"/>
        </w:trPr>
        <w:tc>
          <w:tcPr>
            <w:tcW w:w="2554" w:type="dxa"/>
          </w:tcPr>
          <w:p w:rsidR="001250E1" w:rsidRDefault="00D56DAA">
            <w:pPr>
              <w:pStyle w:val="TableParagraph"/>
              <w:spacing w:line="242" w:lineRule="auto"/>
              <w:ind w:right="668"/>
              <w:rPr>
                <w:b/>
                <w:sz w:val="18"/>
              </w:rPr>
            </w:pPr>
            <w:r>
              <w:rPr>
                <w:b/>
                <w:sz w:val="18"/>
              </w:rPr>
              <w:lastRenderedPageBreak/>
              <w:t>Purpose and link to strategy</w:t>
            </w:r>
          </w:p>
        </w:tc>
        <w:tc>
          <w:tcPr>
            <w:tcW w:w="2552" w:type="dxa"/>
          </w:tcPr>
          <w:p w:rsidR="001250E1" w:rsidRDefault="00D56DAA">
            <w:pPr>
              <w:pStyle w:val="TableParagraph"/>
              <w:spacing w:line="207" w:lineRule="exact"/>
              <w:rPr>
                <w:b/>
                <w:sz w:val="18"/>
              </w:rPr>
            </w:pPr>
            <w:r>
              <w:rPr>
                <w:b/>
                <w:sz w:val="18"/>
              </w:rPr>
              <w:t>Operation</w:t>
            </w:r>
          </w:p>
        </w:tc>
        <w:tc>
          <w:tcPr>
            <w:tcW w:w="2554" w:type="dxa"/>
          </w:tcPr>
          <w:p w:rsidR="001250E1" w:rsidRDefault="00D56DAA">
            <w:pPr>
              <w:pStyle w:val="TableParagraph"/>
              <w:spacing w:line="207" w:lineRule="exact"/>
              <w:ind w:left="106"/>
              <w:rPr>
                <w:b/>
                <w:sz w:val="18"/>
              </w:rPr>
            </w:pPr>
            <w:r>
              <w:rPr>
                <w:b/>
                <w:sz w:val="18"/>
              </w:rPr>
              <w:t>Maximum opportunity</w:t>
            </w:r>
          </w:p>
        </w:tc>
        <w:tc>
          <w:tcPr>
            <w:tcW w:w="2549" w:type="dxa"/>
          </w:tcPr>
          <w:p w:rsidR="001250E1" w:rsidRDefault="00D56DAA">
            <w:pPr>
              <w:pStyle w:val="TableParagraph"/>
              <w:spacing w:line="207" w:lineRule="exact"/>
              <w:ind w:left="103"/>
              <w:rPr>
                <w:b/>
                <w:sz w:val="18"/>
              </w:rPr>
            </w:pPr>
            <w:r>
              <w:rPr>
                <w:b/>
                <w:sz w:val="18"/>
              </w:rPr>
              <w:t>Performance metrics</w:t>
            </w:r>
          </w:p>
        </w:tc>
      </w:tr>
      <w:tr w:rsidR="001250E1">
        <w:trPr>
          <w:trHeight w:val="3695"/>
        </w:trPr>
        <w:tc>
          <w:tcPr>
            <w:tcW w:w="2554" w:type="dxa"/>
          </w:tcPr>
          <w:p w:rsidR="001250E1" w:rsidRDefault="00D56DAA">
            <w:pPr>
              <w:pStyle w:val="TableParagraph"/>
              <w:ind w:right="522"/>
              <w:rPr>
                <w:sz w:val="18"/>
              </w:rPr>
            </w:pPr>
            <w:r>
              <w:rPr>
                <w:b/>
                <w:sz w:val="18"/>
              </w:rPr>
              <w:t xml:space="preserve">Annual Bonus </w:t>
            </w:r>
            <w:r>
              <w:rPr>
                <w:sz w:val="18"/>
              </w:rPr>
              <w:t>Incentivise Executive Directors (excluding the Company’s Executive</w:t>
            </w:r>
          </w:p>
          <w:p w:rsidR="001250E1" w:rsidRDefault="00D56DAA">
            <w:pPr>
              <w:pStyle w:val="TableParagraph"/>
              <w:ind w:right="119"/>
              <w:rPr>
                <w:sz w:val="18"/>
              </w:rPr>
            </w:pPr>
            <w:r>
              <w:rPr>
                <w:sz w:val="18"/>
              </w:rPr>
              <w:t>Chairman) to deliver Group and individual objectives and enhance performance</w:t>
            </w:r>
          </w:p>
        </w:tc>
        <w:tc>
          <w:tcPr>
            <w:tcW w:w="2552" w:type="dxa"/>
          </w:tcPr>
          <w:p w:rsidR="001250E1" w:rsidRDefault="00D56DAA">
            <w:pPr>
              <w:pStyle w:val="TableParagraph"/>
              <w:ind w:right="212"/>
              <w:rPr>
                <w:sz w:val="18"/>
              </w:rPr>
            </w:pPr>
            <w:r>
              <w:rPr>
                <w:sz w:val="18"/>
              </w:rPr>
              <w:t>The annual bonus is paid in cash and ordinary shares, based on the Remuneration Committee’s assessment of performance during the financial year in question.</w:t>
            </w:r>
          </w:p>
        </w:tc>
        <w:tc>
          <w:tcPr>
            <w:tcW w:w="2554" w:type="dxa"/>
          </w:tcPr>
          <w:p w:rsidR="001250E1" w:rsidRDefault="00D56DAA">
            <w:pPr>
              <w:pStyle w:val="TableParagraph"/>
              <w:ind w:left="106" w:right="128"/>
              <w:rPr>
                <w:sz w:val="18"/>
              </w:rPr>
            </w:pPr>
            <w:r>
              <w:rPr>
                <w:sz w:val="18"/>
              </w:rPr>
              <w:t>Maximum annual award is 100% of salary for Executive Directors (excluding the Executive Chairman).</w:t>
            </w:r>
          </w:p>
        </w:tc>
        <w:tc>
          <w:tcPr>
            <w:tcW w:w="2549" w:type="dxa"/>
          </w:tcPr>
          <w:p w:rsidR="001250E1" w:rsidRDefault="00D56DAA">
            <w:pPr>
              <w:pStyle w:val="TableParagraph"/>
              <w:ind w:left="103" w:right="131"/>
              <w:rPr>
                <w:sz w:val="18"/>
              </w:rPr>
            </w:pPr>
            <w:r>
              <w:rPr>
                <w:sz w:val="18"/>
              </w:rPr>
              <w:t>All measures and targets are reviewed annually and set at the start of each financial year.</w:t>
            </w:r>
          </w:p>
          <w:p w:rsidR="001250E1" w:rsidRDefault="001250E1">
            <w:pPr>
              <w:pStyle w:val="TableParagraph"/>
              <w:spacing w:before="5"/>
              <w:ind w:left="0"/>
              <w:rPr>
                <w:sz w:val="17"/>
              </w:rPr>
            </w:pPr>
          </w:p>
          <w:p w:rsidR="001250E1" w:rsidRDefault="00D56DAA">
            <w:pPr>
              <w:pStyle w:val="TableParagraph"/>
              <w:ind w:left="103" w:right="214"/>
              <w:rPr>
                <w:sz w:val="18"/>
              </w:rPr>
            </w:pPr>
            <w:r>
              <w:rPr>
                <w:sz w:val="18"/>
              </w:rPr>
              <w:t>The measures will include relevant financial measures and may include performance against key results areas (“</w:t>
            </w:r>
            <w:r>
              <w:rPr>
                <w:b/>
                <w:sz w:val="18"/>
              </w:rPr>
              <w:t>KRAs</w:t>
            </w:r>
            <w:r>
              <w:rPr>
                <w:sz w:val="18"/>
              </w:rPr>
              <w:t>”) or other strategic measures as appropriate.</w:t>
            </w:r>
          </w:p>
          <w:p w:rsidR="001250E1" w:rsidRDefault="001250E1">
            <w:pPr>
              <w:pStyle w:val="TableParagraph"/>
              <w:spacing w:before="11"/>
              <w:ind w:left="0"/>
              <w:rPr>
                <w:sz w:val="17"/>
              </w:rPr>
            </w:pPr>
          </w:p>
          <w:p w:rsidR="001250E1" w:rsidRDefault="00D56DAA">
            <w:pPr>
              <w:pStyle w:val="TableParagraph"/>
              <w:ind w:left="103" w:right="334"/>
              <w:rPr>
                <w:sz w:val="18"/>
              </w:rPr>
            </w:pPr>
            <w:r>
              <w:rPr>
                <w:sz w:val="18"/>
              </w:rPr>
              <w:t>At least 70% of the bonus will be based on financial measures.</w:t>
            </w:r>
          </w:p>
        </w:tc>
      </w:tr>
      <w:tr w:rsidR="001250E1">
        <w:trPr>
          <w:trHeight w:val="2390"/>
        </w:trPr>
        <w:tc>
          <w:tcPr>
            <w:tcW w:w="2554" w:type="dxa"/>
          </w:tcPr>
          <w:p w:rsidR="001250E1" w:rsidRDefault="00D56DAA">
            <w:pPr>
              <w:pStyle w:val="TableParagraph"/>
              <w:ind w:right="668"/>
              <w:rPr>
                <w:b/>
                <w:sz w:val="18"/>
              </w:rPr>
            </w:pPr>
            <w:r>
              <w:rPr>
                <w:b/>
                <w:sz w:val="18"/>
              </w:rPr>
              <w:t xml:space="preserve">Bonus in </w:t>
            </w:r>
            <w:r>
              <w:rPr>
                <w:b/>
                <w:spacing w:val="-3"/>
                <w:sz w:val="18"/>
              </w:rPr>
              <w:t xml:space="preserve">Deferred </w:t>
            </w:r>
            <w:r>
              <w:rPr>
                <w:b/>
                <w:sz w:val="18"/>
              </w:rPr>
              <w:t>Ordinary Shares (“Deferred Bonus Shares”)</w:t>
            </w:r>
          </w:p>
          <w:p w:rsidR="001250E1" w:rsidRDefault="00D56DAA">
            <w:pPr>
              <w:pStyle w:val="TableParagraph"/>
              <w:ind w:right="361"/>
              <w:rPr>
                <w:sz w:val="18"/>
              </w:rPr>
            </w:pPr>
            <w:r>
              <w:rPr>
                <w:sz w:val="18"/>
              </w:rPr>
              <w:t>Encourage a longer-term focus which is aligned to ordinary shareholders and discourages inappropriate risk-taking</w:t>
            </w:r>
          </w:p>
        </w:tc>
        <w:tc>
          <w:tcPr>
            <w:tcW w:w="2552" w:type="dxa"/>
          </w:tcPr>
          <w:p w:rsidR="001250E1" w:rsidRDefault="00D56DAA">
            <w:pPr>
              <w:pStyle w:val="TableParagraph"/>
              <w:ind w:right="235"/>
              <w:rPr>
                <w:sz w:val="18"/>
              </w:rPr>
            </w:pPr>
            <w:r>
              <w:rPr>
                <w:sz w:val="18"/>
              </w:rPr>
              <w:t>20% of any bonus award is paid in Deferred Bonus Shares with such ordinary shares having dividend entitlements/dividend equivalents.</w:t>
            </w:r>
          </w:p>
          <w:p w:rsidR="001250E1" w:rsidRDefault="001250E1">
            <w:pPr>
              <w:pStyle w:val="TableParagraph"/>
              <w:spacing w:before="2"/>
              <w:ind w:left="0"/>
              <w:rPr>
                <w:sz w:val="17"/>
              </w:rPr>
            </w:pPr>
          </w:p>
          <w:p w:rsidR="001250E1" w:rsidRDefault="00D56DAA">
            <w:pPr>
              <w:pStyle w:val="TableParagraph"/>
              <w:spacing w:before="1"/>
              <w:ind w:right="142"/>
              <w:rPr>
                <w:sz w:val="18"/>
              </w:rPr>
            </w:pPr>
            <w:r>
              <w:rPr>
                <w:sz w:val="18"/>
              </w:rPr>
              <w:t>The Remuneration Committee may increase the level of deferral at any time.</w:t>
            </w:r>
          </w:p>
        </w:tc>
        <w:tc>
          <w:tcPr>
            <w:tcW w:w="2554" w:type="dxa"/>
          </w:tcPr>
          <w:p w:rsidR="001250E1" w:rsidRDefault="00D56DAA">
            <w:pPr>
              <w:pStyle w:val="TableParagraph"/>
              <w:spacing w:line="207" w:lineRule="exact"/>
              <w:ind w:left="106"/>
              <w:rPr>
                <w:sz w:val="18"/>
              </w:rPr>
            </w:pPr>
            <w:r>
              <w:rPr>
                <w:sz w:val="18"/>
              </w:rPr>
              <w:t>20% of any bonus award.</w:t>
            </w:r>
          </w:p>
        </w:tc>
        <w:tc>
          <w:tcPr>
            <w:tcW w:w="2549" w:type="dxa"/>
          </w:tcPr>
          <w:p w:rsidR="001250E1" w:rsidRDefault="00D56DAA">
            <w:pPr>
              <w:pStyle w:val="TableParagraph"/>
              <w:spacing w:line="207" w:lineRule="exact"/>
              <w:ind w:left="103"/>
              <w:rPr>
                <w:sz w:val="18"/>
              </w:rPr>
            </w:pPr>
            <w:r>
              <w:rPr>
                <w:sz w:val="18"/>
              </w:rPr>
              <w:t>None.</w:t>
            </w:r>
          </w:p>
        </w:tc>
      </w:tr>
      <w:tr w:rsidR="001250E1">
        <w:trPr>
          <w:trHeight w:val="4127"/>
        </w:trPr>
        <w:tc>
          <w:tcPr>
            <w:tcW w:w="2554" w:type="dxa"/>
          </w:tcPr>
          <w:p w:rsidR="001250E1" w:rsidRDefault="00D56DAA">
            <w:pPr>
              <w:pStyle w:val="TableParagraph"/>
              <w:spacing w:line="207" w:lineRule="exact"/>
              <w:rPr>
                <w:b/>
                <w:sz w:val="18"/>
              </w:rPr>
            </w:pPr>
            <w:r>
              <w:rPr>
                <w:b/>
                <w:sz w:val="18"/>
              </w:rPr>
              <w:t>2019 Long Term</w:t>
            </w:r>
          </w:p>
          <w:p w:rsidR="001250E1" w:rsidRDefault="00D56DAA">
            <w:pPr>
              <w:pStyle w:val="TableParagraph"/>
              <w:spacing w:before="1"/>
              <w:ind w:right="428"/>
              <w:rPr>
                <w:b/>
                <w:sz w:val="18"/>
              </w:rPr>
            </w:pPr>
            <w:r>
              <w:rPr>
                <w:b/>
                <w:sz w:val="18"/>
              </w:rPr>
              <w:t>Incentive Plan (“2019 LTIP”)</w:t>
            </w:r>
          </w:p>
          <w:p w:rsidR="001250E1" w:rsidRDefault="00D56DAA">
            <w:pPr>
              <w:pStyle w:val="TableParagraph"/>
              <w:ind w:right="265"/>
              <w:rPr>
                <w:sz w:val="18"/>
              </w:rPr>
            </w:pPr>
            <w:r>
              <w:rPr>
                <w:sz w:val="18"/>
              </w:rPr>
              <w:t>To reward the execution of the Group’s strategy and align the interests of ordinary shareholders and Executive Directors (excluding the Executive Chairman)</w:t>
            </w:r>
          </w:p>
        </w:tc>
        <w:tc>
          <w:tcPr>
            <w:tcW w:w="2552" w:type="dxa"/>
          </w:tcPr>
          <w:p w:rsidR="001250E1" w:rsidRDefault="00D56DAA">
            <w:pPr>
              <w:pStyle w:val="TableParagraph"/>
              <w:ind w:right="168"/>
              <w:rPr>
                <w:sz w:val="18"/>
              </w:rPr>
            </w:pPr>
            <w:r>
              <w:rPr>
                <w:sz w:val="18"/>
              </w:rPr>
              <w:t>Conditional right to acquire ordinary shares or an option to acquire ordinary shares.</w:t>
            </w:r>
          </w:p>
          <w:p w:rsidR="001250E1" w:rsidRDefault="001250E1">
            <w:pPr>
              <w:pStyle w:val="TableParagraph"/>
              <w:spacing w:before="1"/>
              <w:ind w:left="0"/>
              <w:rPr>
                <w:sz w:val="17"/>
              </w:rPr>
            </w:pPr>
          </w:p>
          <w:p w:rsidR="001250E1" w:rsidRDefault="00D56DAA">
            <w:pPr>
              <w:pStyle w:val="TableParagraph"/>
              <w:spacing w:before="1"/>
              <w:ind w:right="193"/>
              <w:rPr>
                <w:sz w:val="18"/>
              </w:rPr>
            </w:pPr>
            <w:r>
              <w:rPr>
                <w:sz w:val="18"/>
              </w:rPr>
              <w:t xml:space="preserve">Vesting of awards is subject to continued service and performance targets, which are measured over a </w:t>
            </w:r>
            <w:proofErr w:type="gramStart"/>
            <w:r>
              <w:rPr>
                <w:sz w:val="18"/>
              </w:rPr>
              <w:t>three year</w:t>
            </w:r>
            <w:proofErr w:type="gramEnd"/>
            <w:r>
              <w:rPr>
                <w:sz w:val="18"/>
              </w:rPr>
              <w:t xml:space="preserve"> period.</w:t>
            </w:r>
          </w:p>
          <w:p w:rsidR="001250E1" w:rsidRDefault="001250E1">
            <w:pPr>
              <w:pStyle w:val="TableParagraph"/>
              <w:spacing w:before="11"/>
              <w:ind w:left="0"/>
              <w:rPr>
                <w:sz w:val="17"/>
              </w:rPr>
            </w:pPr>
          </w:p>
          <w:p w:rsidR="001250E1" w:rsidRDefault="00D56DAA">
            <w:pPr>
              <w:pStyle w:val="TableParagraph"/>
              <w:rPr>
                <w:sz w:val="18"/>
              </w:rPr>
            </w:pPr>
            <w:r>
              <w:rPr>
                <w:sz w:val="18"/>
              </w:rPr>
              <w:t>Dividend equivalents may be payable to the extent that awards vest.</w:t>
            </w:r>
          </w:p>
          <w:p w:rsidR="001250E1" w:rsidRDefault="001250E1">
            <w:pPr>
              <w:pStyle w:val="TableParagraph"/>
              <w:spacing w:before="2"/>
              <w:ind w:left="0"/>
              <w:rPr>
                <w:sz w:val="18"/>
              </w:rPr>
            </w:pPr>
          </w:p>
          <w:p w:rsidR="001250E1" w:rsidRDefault="00D56DAA">
            <w:pPr>
              <w:pStyle w:val="TableParagraph"/>
              <w:ind w:right="153" w:hanging="1"/>
              <w:rPr>
                <w:sz w:val="18"/>
              </w:rPr>
            </w:pPr>
            <w:r>
              <w:rPr>
                <w:sz w:val="18"/>
              </w:rPr>
              <w:t xml:space="preserve">A </w:t>
            </w:r>
            <w:proofErr w:type="gramStart"/>
            <w:r>
              <w:rPr>
                <w:sz w:val="18"/>
              </w:rPr>
              <w:t>two year</w:t>
            </w:r>
            <w:proofErr w:type="gramEnd"/>
            <w:r>
              <w:rPr>
                <w:sz w:val="18"/>
              </w:rPr>
              <w:t xml:space="preserve"> holding period will apply to all 2019 LTIP awards granted to Executive Directors.</w:t>
            </w:r>
          </w:p>
        </w:tc>
        <w:tc>
          <w:tcPr>
            <w:tcW w:w="2554" w:type="dxa"/>
          </w:tcPr>
          <w:p w:rsidR="001250E1" w:rsidRDefault="00D56DAA">
            <w:pPr>
              <w:pStyle w:val="TableParagraph"/>
              <w:ind w:left="106" w:right="128"/>
              <w:rPr>
                <w:sz w:val="18"/>
              </w:rPr>
            </w:pPr>
            <w:r>
              <w:rPr>
                <w:sz w:val="18"/>
              </w:rPr>
              <w:t>100% of salary for Executive Directors (excluding the Executive Chairman).</w:t>
            </w:r>
          </w:p>
        </w:tc>
        <w:tc>
          <w:tcPr>
            <w:tcW w:w="2549" w:type="dxa"/>
          </w:tcPr>
          <w:p w:rsidR="001250E1" w:rsidRDefault="00D56DAA">
            <w:pPr>
              <w:pStyle w:val="TableParagraph"/>
              <w:ind w:left="103" w:right="185"/>
              <w:rPr>
                <w:sz w:val="18"/>
              </w:rPr>
            </w:pPr>
            <w:r>
              <w:rPr>
                <w:sz w:val="18"/>
              </w:rPr>
              <w:t>Total shareholder return (“</w:t>
            </w:r>
            <w:r>
              <w:rPr>
                <w:b/>
                <w:sz w:val="18"/>
              </w:rPr>
              <w:t>TSR</w:t>
            </w:r>
            <w:r>
              <w:rPr>
                <w:sz w:val="18"/>
              </w:rPr>
              <w:t>”), earnings per share (“</w:t>
            </w:r>
            <w:r>
              <w:rPr>
                <w:b/>
                <w:sz w:val="18"/>
              </w:rPr>
              <w:t>EPS</w:t>
            </w:r>
            <w:r>
              <w:rPr>
                <w:sz w:val="18"/>
              </w:rPr>
              <w:t>”), return on capital employed or any other Group financial and/or strategic performance measures.</w:t>
            </w:r>
          </w:p>
          <w:p w:rsidR="001250E1" w:rsidRDefault="001250E1">
            <w:pPr>
              <w:pStyle w:val="TableParagraph"/>
              <w:spacing w:before="1"/>
              <w:ind w:left="0"/>
              <w:rPr>
                <w:sz w:val="17"/>
              </w:rPr>
            </w:pPr>
          </w:p>
          <w:p w:rsidR="001250E1" w:rsidRDefault="00D56DAA">
            <w:pPr>
              <w:pStyle w:val="TableParagraph"/>
              <w:ind w:left="103" w:right="137"/>
              <w:rPr>
                <w:sz w:val="18"/>
              </w:rPr>
            </w:pPr>
            <w:r>
              <w:rPr>
                <w:sz w:val="18"/>
              </w:rPr>
              <w:t>All measures and targets are reviewed annually and set prior to each grant.</w:t>
            </w:r>
          </w:p>
          <w:p w:rsidR="001250E1" w:rsidRDefault="001250E1">
            <w:pPr>
              <w:pStyle w:val="TableParagraph"/>
              <w:spacing w:before="2"/>
              <w:ind w:left="0"/>
              <w:rPr>
                <w:sz w:val="18"/>
              </w:rPr>
            </w:pPr>
          </w:p>
          <w:p w:rsidR="001250E1" w:rsidRDefault="00D56DAA">
            <w:pPr>
              <w:pStyle w:val="TableParagraph"/>
              <w:ind w:left="103" w:right="430"/>
              <w:rPr>
                <w:sz w:val="18"/>
              </w:rPr>
            </w:pPr>
            <w:r>
              <w:rPr>
                <w:sz w:val="18"/>
              </w:rPr>
              <w:t>No more than 25% of an award will vest on the attainment of threshold performance.</w:t>
            </w:r>
          </w:p>
        </w:tc>
      </w:tr>
      <w:tr w:rsidR="001250E1">
        <w:trPr>
          <w:trHeight w:val="4127"/>
        </w:trPr>
        <w:tc>
          <w:tcPr>
            <w:tcW w:w="2554" w:type="dxa"/>
          </w:tcPr>
          <w:p w:rsidR="001250E1" w:rsidRDefault="00D56DAA">
            <w:pPr>
              <w:pStyle w:val="TableParagraph"/>
              <w:spacing w:line="207" w:lineRule="exact"/>
              <w:rPr>
                <w:b/>
                <w:sz w:val="18"/>
              </w:rPr>
            </w:pPr>
            <w:r>
              <w:rPr>
                <w:b/>
                <w:sz w:val="18"/>
              </w:rPr>
              <w:t>2019 Transformation</w:t>
            </w:r>
          </w:p>
          <w:p w:rsidR="001250E1" w:rsidRDefault="00D56DAA">
            <w:pPr>
              <w:pStyle w:val="TableParagraph"/>
              <w:spacing w:before="1"/>
              <w:ind w:right="428"/>
              <w:rPr>
                <w:b/>
                <w:sz w:val="18"/>
              </w:rPr>
            </w:pPr>
            <w:r>
              <w:rPr>
                <w:b/>
                <w:sz w:val="18"/>
              </w:rPr>
              <w:t>Incentive Plan (“2019 TIP”)</w:t>
            </w:r>
          </w:p>
          <w:p w:rsidR="001250E1" w:rsidRDefault="00D56DAA">
            <w:pPr>
              <w:pStyle w:val="TableParagraph"/>
              <w:ind w:right="201"/>
              <w:rPr>
                <w:sz w:val="18"/>
              </w:rPr>
            </w:pPr>
            <w:r>
              <w:rPr>
                <w:sz w:val="18"/>
              </w:rPr>
              <w:t>To incentivise and reward the Executive Chairman for delivering absolute TSR and align the interests of ordinary shareholders and the Executive Chairman</w:t>
            </w:r>
          </w:p>
        </w:tc>
        <w:tc>
          <w:tcPr>
            <w:tcW w:w="2552" w:type="dxa"/>
          </w:tcPr>
          <w:p w:rsidR="001250E1" w:rsidRDefault="00D56DAA">
            <w:pPr>
              <w:pStyle w:val="TableParagraph"/>
              <w:ind w:right="168"/>
              <w:rPr>
                <w:sz w:val="18"/>
              </w:rPr>
            </w:pPr>
            <w:r>
              <w:rPr>
                <w:sz w:val="18"/>
              </w:rPr>
              <w:t>Conditional right to acquire ordinary shares or an option to acquire ordinary shares.</w:t>
            </w:r>
          </w:p>
          <w:p w:rsidR="001250E1" w:rsidRDefault="001250E1">
            <w:pPr>
              <w:pStyle w:val="TableParagraph"/>
              <w:spacing w:before="4"/>
              <w:ind w:left="0"/>
              <w:rPr>
                <w:sz w:val="17"/>
              </w:rPr>
            </w:pPr>
          </w:p>
          <w:p w:rsidR="001250E1" w:rsidRDefault="00D56DAA">
            <w:pPr>
              <w:pStyle w:val="TableParagraph"/>
              <w:ind w:right="193"/>
              <w:rPr>
                <w:sz w:val="18"/>
              </w:rPr>
            </w:pPr>
            <w:r>
              <w:rPr>
                <w:sz w:val="18"/>
              </w:rPr>
              <w:t xml:space="preserve">Vesting of awards is subject to personal investment in ordinary shares, continued service and performance targets which are measured over a minimum of a </w:t>
            </w:r>
            <w:proofErr w:type="gramStart"/>
            <w:r>
              <w:rPr>
                <w:sz w:val="18"/>
              </w:rPr>
              <w:t>three year</w:t>
            </w:r>
            <w:proofErr w:type="gramEnd"/>
            <w:r>
              <w:rPr>
                <w:sz w:val="18"/>
              </w:rPr>
              <w:t xml:space="preserve"> period.</w:t>
            </w:r>
          </w:p>
          <w:p w:rsidR="001250E1" w:rsidRDefault="001250E1">
            <w:pPr>
              <w:pStyle w:val="TableParagraph"/>
              <w:spacing w:before="11"/>
              <w:ind w:left="0"/>
              <w:rPr>
                <w:sz w:val="17"/>
              </w:rPr>
            </w:pPr>
          </w:p>
          <w:p w:rsidR="001250E1" w:rsidRDefault="00D56DAA">
            <w:pPr>
              <w:pStyle w:val="TableParagraph"/>
              <w:rPr>
                <w:sz w:val="18"/>
              </w:rPr>
            </w:pPr>
            <w:r>
              <w:rPr>
                <w:sz w:val="18"/>
              </w:rPr>
              <w:t>Dividend equivalents may be payable to the extent that awards vest.</w:t>
            </w:r>
          </w:p>
          <w:p w:rsidR="001250E1" w:rsidRDefault="001250E1">
            <w:pPr>
              <w:pStyle w:val="TableParagraph"/>
              <w:ind w:left="0"/>
              <w:rPr>
                <w:sz w:val="18"/>
              </w:rPr>
            </w:pPr>
          </w:p>
          <w:p w:rsidR="001250E1" w:rsidRDefault="00D56DAA">
            <w:pPr>
              <w:pStyle w:val="TableParagraph"/>
              <w:ind w:right="369"/>
              <w:rPr>
                <w:sz w:val="18"/>
              </w:rPr>
            </w:pPr>
            <w:r>
              <w:rPr>
                <w:sz w:val="18"/>
              </w:rPr>
              <w:t xml:space="preserve">A </w:t>
            </w:r>
            <w:proofErr w:type="gramStart"/>
            <w:r>
              <w:rPr>
                <w:sz w:val="18"/>
              </w:rPr>
              <w:t>two year</w:t>
            </w:r>
            <w:proofErr w:type="gramEnd"/>
            <w:r>
              <w:rPr>
                <w:sz w:val="18"/>
              </w:rPr>
              <w:t xml:space="preserve"> holding period will apply.</w:t>
            </w:r>
          </w:p>
        </w:tc>
        <w:tc>
          <w:tcPr>
            <w:tcW w:w="2554" w:type="dxa"/>
          </w:tcPr>
          <w:p w:rsidR="001250E1" w:rsidRDefault="00D56DAA">
            <w:pPr>
              <w:pStyle w:val="TableParagraph"/>
              <w:ind w:left="106" w:right="119"/>
              <w:rPr>
                <w:sz w:val="18"/>
              </w:rPr>
            </w:pPr>
            <w:r>
              <w:rPr>
                <w:sz w:val="18"/>
              </w:rPr>
              <w:t>850,000 ordinary shares in respect of the Executive Chairman only, subject to an equivalent personal investment in ordinary shares.</w:t>
            </w:r>
          </w:p>
        </w:tc>
        <w:tc>
          <w:tcPr>
            <w:tcW w:w="2549" w:type="dxa"/>
          </w:tcPr>
          <w:p w:rsidR="001250E1" w:rsidRDefault="00D56DAA">
            <w:pPr>
              <w:pStyle w:val="TableParagraph"/>
              <w:spacing w:line="207" w:lineRule="exact"/>
              <w:ind w:left="103"/>
              <w:rPr>
                <w:sz w:val="18"/>
              </w:rPr>
            </w:pPr>
            <w:r>
              <w:rPr>
                <w:sz w:val="18"/>
              </w:rPr>
              <w:t>Absolute TSR.</w:t>
            </w:r>
          </w:p>
        </w:tc>
      </w:tr>
    </w:tbl>
    <w:p w:rsidR="001250E1" w:rsidRDefault="001250E1">
      <w:pPr>
        <w:spacing w:line="207" w:lineRule="exact"/>
        <w:rPr>
          <w:sz w:val="18"/>
        </w:rPr>
        <w:sectPr w:rsidR="001250E1" w:rsidSect="003D5C08">
          <w:pgSz w:w="11910" w:h="16840"/>
          <w:pgMar w:top="993" w:right="560" w:bottom="280" w:left="900"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52"/>
        <w:gridCol w:w="2554"/>
        <w:gridCol w:w="2549"/>
      </w:tblGrid>
      <w:tr w:rsidR="001250E1">
        <w:trPr>
          <w:trHeight w:val="652"/>
        </w:trPr>
        <w:tc>
          <w:tcPr>
            <w:tcW w:w="2554" w:type="dxa"/>
          </w:tcPr>
          <w:p w:rsidR="001250E1" w:rsidRDefault="00D56DAA">
            <w:pPr>
              <w:pStyle w:val="TableParagraph"/>
              <w:ind w:right="668"/>
              <w:rPr>
                <w:b/>
                <w:sz w:val="18"/>
              </w:rPr>
            </w:pPr>
            <w:r>
              <w:rPr>
                <w:b/>
                <w:sz w:val="18"/>
              </w:rPr>
              <w:lastRenderedPageBreak/>
              <w:t>Purpose and link to strategy</w:t>
            </w:r>
          </w:p>
        </w:tc>
        <w:tc>
          <w:tcPr>
            <w:tcW w:w="2552" w:type="dxa"/>
          </w:tcPr>
          <w:p w:rsidR="001250E1" w:rsidRDefault="00D56DAA">
            <w:pPr>
              <w:pStyle w:val="TableParagraph"/>
              <w:spacing w:line="217" w:lineRule="exact"/>
              <w:rPr>
                <w:b/>
                <w:sz w:val="18"/>
              </w:rPr>
            </w:pPr>
            <w:r>
              <w:rPr>
                <w:b/>
                <w:sz w:val="18"/>
              </w:rPr>
              <w:t>Operation</w:t>
            </w:r>
          </w:p>
        </w:tc>
        <w:tc>
          <w:tcPr>
            <w:tcW w:w="2554" w:type="dxa"/>
          </w:tcPr>
          <w:p w:rsidR="001250E1" w:rsidRDefault="00D56DAA">
            <w:pPr>
              <w:pStyle w:val="TableParagraph"/>
              <w:spacing w:line="217" w:lineRule="exact"/>
              <w:ind w:left="106"/>
              <w:rPr>
                <w:b/>
                <w:sz w:val="18"/>
              </w:rPr>
            </w:pPr>
            <w:r>
              <w:rPr>
                <w:b/>
                <w:sz w:val="18"/>
              </w:rPr>
              <w:t>Maximum opportunity</w:t>
            </w:r>
          </w:p>
        </w:tc>
        <w:tc>
          <w:tcPr>
            <w:tcW w:w="2549" w:type="dxa"/>
          </w:tcPr>
          <w:p w:rsidR="001250E1" w:rsidRDefault="00D56DAA">
            <w:pPr>
              <w:pStyle w:val="TableParagraph"/>
              <w:spacing w:line="217" w:lineRule="exact"/>
              <w:ind w:left="103"/>
              <w:rPr>
                <w:b/>
                <w:sz w:val="18"/>
              </w:rPr>
            </w:pPr>
            <w:r>
              <w:rPr>
                <w:b/>
                <w:sz w:val="18"/>
              </w:rPr>
              <w:t>Performance metrics</w:t>
            </w:r>
          </w:p>
        </w:tc>
      </w:tr>
      <w:tr w:rsidR="001250E1">
        <w:trPr>
          <w:trHeight w:val="2390"/>
        </w:trPr>
        <w:tc>
          <w:tcPr>
            <w:tcW w:w="2554" w:type="dxa"/>
          </w:tcPr>
          <w:p w:rsidR="001250E1" w:rsidRDefault="00D56DAA">
            <w:pPr>
              <w:pStyle w:val="TableParagraph"/>
              <w:spacing w:line="216" w:lineRule="exact"/>
              <w:rPr>
                <w:b/>
                <w:sz w:val="18"/>
              </w:rPr>
            </w:pPr>
            <w:r>
              <w:rPr>
                <w:b/>
                <w:sz w:val="18"/>
              </w:rPr>
              <w:t>Pension</w:t>
            </w:r>
          </w:p>
          <w:p w:rsidR="001250E1" w:rsidRDefault="00D56DAA">
            <w:pPr>
              <w:pStyle w:val="TableParagraph"/>
              <w:ind w:right="477"/>
              <w:rPr>
                <w:sz w:val="18"/>
              </w:rPr>
            </w:pPr>
            <w:r>
              <w:rPr>
                <w:sz w:val="18"/>
              </w:rPr>
              <w:t>Provide market levels of pension provision to Executive Directors (excluding the Executive Chairman)</w:t>
            </w:r>
          </w:p>
        </w:tc>
        <w:tc>
          <w:tcPr>
            <w:tcW w:w="2552" w:type="dxa"/>
          </w:tcPr>
          <w:p w:rsidR="001250E1" w:rsidRDefault="00D56DAA">
            <w:pPr>
              <w:pStyle w:val="TableParagraph"/>
              <w:rPr>
                <w:sz w:val="18"/>
              </w:rPr>
            </w:pPr>
            <w:r>
              <w:rPr>
                <w:sz w:val="18"/>
              </w:rPr>
              <w:t>Existing Executive Directors can participate in the John Menzies Money Purchase Pension Scheme and/or cash equivalent.</w:t>
            </w:r>
          </w:p>
        </w:tc>
        <w:tc>
          <w:tcPr>
            <w:tcW w:w="2554" w:type="dxa"/>
          </w:tcPr>
          <w:p w:rsidR="001250E1" w:rsidRDefault="00D56DAA">
            <w:pPr>
              <w:pStyle w:val="TableParagraph"/>
              <w:ind w:left="106" w:right="336"/>
              <w:rPr>
                <w:sz w:val="18"/>
              </w:rPr>
            </w:pPr>
            <w:r>
              <w:rPr>
                <w:sz w:val="18"/>
              </w:rPr>
              <w:t>New Executive Directors: workforce aligned pension provision.</w:t>
            </w:r>
          </w:p>
          <w:p w:rsidR="001250E1" w:rsidRDefault="001250E1">
            <w:pPr>
              <w:pStyle w:val="TableParagraph"/>
              <w:spacing w:before="11"/>
              <w:ind w:left="0"/>
              <w:rPr>
                <w:sz w:val="17"/>
              </w:rPr>
            </w:pPr>
          </w:p>
          <w:p w:rsidR="001250E1" w:rsidRDefault="00D56DAA">
            <w:pPr>
              <w:pStyle w:val="TableParagraph"/>
              <w:ind w:left="106" w:right="174"/>
              <w:rPr>
                <w:sz w:val="18"/>
              </w:rPr>
            </w:pPr>
            <w:r>
              <w:rPr>
                <w:sz w:val="18"/>
              </w:rPr>
              <w:t>Existing Executive Directors (excluding the Executive Chairman): pension contribution and/or cash supplement of up to 20% of salary.</w:t>
            </w:r>
          </w:p>
        </w:tc>
        <w:tc>
          <w:tcPr>
            <w:tcW w:w="2549" w:type="dxa"/>
          </w:tcPr>
          <w:p w:rsidR="001250E1" w:rsidRDefault="00D56DAA">
            <w:pPr>
              <w:pStyle w:val="TableParagraph"/>
              <w:spacing w:line="217" w:lineRule="exact"/>
              <w:ind w:left="103"/>
              <w:rPr>
                <w:sz w:val="18"/>
              </w:rPr>
            </w:pPr>
            <w:r>
              <w:rPr>
                <w:sz w:val="18"/>
              </w:rPr>
              <w:t>None.</w:t>
            </w:r>
          </w:p>
        </w:tc>
      </w:tr>
      <w:tr w:rsidR="001250E1">
        <w:trPr>
          <w:trHeight w:val="5214"/>
        </w:trPr>
        <w:tc>
          <w:tcPr>
            <w:tcW w:w="2554" w:type="dxa"/>
          </w:tcPr>
          <w:p w:rsidR="001250E1" w:rsidRDefault="00D56DAA">
            <w:pPr>
              <w:pStyle w:val="TableParagraph"/>
              <w:spacing w:line="216" w:lineRule="exact"/>
              <w:rPr>
                <w:b/>
                <w:sz w:val="18"/>
              </w:rPr>
            </w:pPr>
            <w:r>
              <w:rPr>
                <w:b/>
                <w:sz w:val="18"/>
              </w:rPr>
              <w:t>Benefits</w:t>
            </w:r>
          </w:p>
          <w:p w:rsidR="001250E1" w:rsidRDefault="00D56DAA">
            <w:pPr>
              <w:pStyle w:val="TableParagraph"/>
              <w:ind w:right="509"/>
              <w:rPr>
                <w:sz w:val="18"/>
              </w:rPr>
            </w:pPr>
            <w:r>
              <w:rPr>
                <w:sz w:val="18"/>
              </w:rPr>
              <w:t>Provide market levels of benefits provision</w:t>
            </w:r>
          </w:p>
        </w:tc>
        <w:tc>
          <w:tcPr>
            <w:tcW w:w="2552" w:type="dxa"/>
          </w:tcPr>
          <w:p w:rsidR="001250E1" w:rsidRDefault="00D56DAA">
            <w:pPr>
              <w:pStyle w:val="TableParagraph"/>
              <w:ind w:right="183"/>
              <w:rPr>
                <w:sz w:val="18"/>
              </w:rPr>
            </w:pPr>
            <w:r>
              <w:rPr>
                <w:sz w:val="18"/>
              </w:rPr>
              <w:t>Executive Directors receive benefits which typically may include, but are not limited to, private health insurance, life assurance, ill-health insurance protection and a company car allowance.</w:t>
            </w:r>
          </w:p>
          <w:p w:rsidR="001250E1" w:rsidRDefault="001250E1">
            <w:pPr>
              <w:pStyle w:val="TableParagraph"/>
              <w:spacing w:before="11"/>
              <w:ind w:left="0"/>
              <w:rPr>
                <w:sz w:val="17"/>
              </w:rPr>
            </w:pPr>
          </w:p>
          <w:p w:rsidR="001250E1" w:rsidRDefault="00D56DAA">
            <w:pPr>
              <w:pStyle w:val="TableParagraph"/>
              <w:ind w:right="85"/>
              <w:rPr>
                <w:sz w:val="18"/>
              </w:rPr>
            </w:pPr>
            <w:r>
              <w:rPr>
                <w:sz w:val="18"/>
              </w:rPr>
              <w:t>Other benefits may be operated through salary sacrifice. The Remuneration Committee may introduce or remove benefits offered to individuals where it considers it appropriate to do so.</w:t>
            </w:r>
          </w:p>
          <w:p w:rsidR="001250E1" w:rsidRDefault="001250E1">
            <w:pPr>
              <w:pStyle w:val="TableParagraph"/>
              <w:spacing w:before="11"/>
              <w:ind w:left="0"/>
              <w:rPr>
                <w:sz w:val="17"/>
              </w:rPr>
            </w:pPr>
          </w:p>
          <w:p w:rsidR="001250E1" w:rsidRDefault="00D56DAA">
            <w:pPr>
              <w:pStyle w:val="TableParagraph"/>
              <w:ind w:right="177"/>
              <w:rPr>
                <w:sz w:val="18"/>
              </w:rPr>
            </w:pPr>
            <w:r>
              <w:rPr>
                <w:sz w:val="18"/>
              </w:rPr>
              <w:t>Where Executive Directors are required to relocate, the Remuneration Committee may, if considered appropriate, offer additional relocation or expatriate benefits.</w:t>
            </w:r>
          </w:p>
        </w:tc>
        <w:tc>
          <w:tcPr>
            <w:tcW w:w="2554" w:type="dxa"/>
          </w:tcPr>
          <w:p w:rsidR="001250E1" w:rsidRDefault="00D56DAA">
            <w:pPr>
              <w:pStyle w:val="TableParagraph"/>
              <w:ind w:left="106" w:right="103"/>
              <w:rPr>
                <w:sz w:val="18"/>
              </w:rPr>
            </w:pPr>
            <w:r>
              <w:rPr>
                <w:sz w:val="18"/>
              </w:rPr>
              <w:t>As the cost of providing other benefits, including health insurance and life assurance, may vary from year to year, it is not considered practical to define a maximum level for these or any other</w:t>
            </w:r>
            <w:r>
              <w:rPr>
                <w:spacing w:val="-3"/>
                <w:sz w:val="18"/>
              </w:rPr>
              <w:t xml:space="preserve"> </w:t>
            </w:r>
            <w:r>
              <w:rPr>
                <w:sz w:val="18"/>
              </w:rPr>
              <w:t>benefits.</w:t>
            </w:r>
          </w:p>
          <w:p w:rsidR="001250E1" w:rsidRDefault="001250E1">
            <w:pPr>
              <w:pStyle w:val="TableParagraph"/>
              <w:ind w:left="0"/>
              <w:rPr>
                <w:sz w:val="18"/>
              </w:rPr>
            </w:pPr>
          </w:p>
          <w:p w:rsidR="001250E1" w:rsidRDefault="00D56DAA">
            <w:pPr>
              <w:pStyle w:val="TableParagraph"/>
              <w:ind w:left="106" w:right="160"/>
              <w:rPr>
                <w:sz w:val="18"/>
              </w:rPr>
            </w:pPr>
            <w:r>
              <w:rPr>
                <w:sz w:val="18"/>
              </w:rPr>
              <w:t>The level of any relocation benefits, allowances and expenses will depend on the specific circumstances.</w:t>
            </w:r>
          </w:p>
          <w:p w:rsidR="001250E1" w:rsidRDefault="001250E1">
            <w:pPr>
              <w:pStyle w:val="TableParagraph"/>
              <w:spacing w:before="10"/>
              <w:ind w:left="0"/>
              <w:rPr>
                <w:sz w:val="17"/>
              </w:rPr>
            </w:pPr>
          </w:p>
          <w:p w:rsidR="001250E1" w:rsidRDefault="00D56DAA">
            <w:pPr>
              <w:pStyle w:val="TableParagraph"/>
              <w:ind w:left="106" w:right="111"/>
              <w:rPr>
                <w:sz w:val="18"/>
              </w:rPr>
            </w:pPr>
            <w:r>
              <w:rPr>
                <w:sz w:val="18"/>
              </w:rPr>
              <w:t>There is no overall maximum level of benefits.</w:t>
            </w:r>
          </w:p>
        </w:tc>
        <w:tc>
          <w:tcPr>
            <w:tcW w:w="2549" w:type="dxa"/>
          </w:tcPr>
          <w:p w:rsidR="001250E1" w:rsidRDefault="00D56DAA">
            <w:pPr>
              <w:pStyle w:val="TableParagraph"/>
              <w:spacing w:line="217" w:lineRule="exact"/>
              <w:ind w:left="103"/>
              <w:rPr>
                <w:sz w:val="18"/>
              </w:rPr>
            </w:pPr>
            <w:r>
              <w:rPr>
                <w:sz w:val="18"/>
              </w:rPr>
              <w:t>None.</w:t>
            </w:r>
          </w:p>
        </w:tc>
      </w:tr>
      <w:tr w:rsidR="001250E1">
        <w:trPr>
          <w:trHeight w:val="1737"/>
        </w:trPr>
        <w:tc>
          <w:tcPr>
            <w:tcW w:w="2554" w:type="dxa"/>
          </w:tcPr>
          <w:p w:rsidR="001250E1" w:rsidRDefault="00D56DAA">
            <w:pPr>
              <w:pStyle w:val="TableParagraph"/>
              <w:ind w:right="445"/>
              <w:rPr>
                <w:b/>
                <w:sz w:val="18"/>
              </w:rPr>
            </w:pPr>
            <w:r>
              <w:rPr>
                <w:b/>
                <w:sz w:val="18"/>
              </w:rPr>
              <w:t xml:space="preserve">Company’s </w:t>
            </w:r>
            <w:proofErr w:type="spellStart"/>
            <w:r>
              <w:rPr>
                <w:b/>
                <w:sz w:val="18"/>
              </w:rPr>
              <w:t>Sharesave</w:t>
            </w:r>
            <w:proofErr w:type="spellEnd"/>
            <w:r>
              <w:rPr>
                <w:b/>
                <w:sz w:val="18"/>
              </w:rPr>
              <w:t xml:space="preserve"> Scheme</w:t>
            </w:r>
          </w:p>
          <w:p w:rsidR="001250E1" w:rsidRDefault="00D56DAA">
            <w:pPr>
              <w:pStyle w:val="TableParagraph"/>
              <w:ind w:right="201"/>
              <w:rPr>
                <w:sz w:val="18"/>
              </w:rPr>
            </w:pPr>
            <w:r>
              <w:rPr>
                <w:sz w:val="18"/>
              </w:rPr>
              <w:t>Provide the Company’s UK employees with an interest in the performance of its ordinary shares.</w:t>
            </w:r>
          </w:p>
        </w:tc>
        <w:tc>
          <w:tcPr>
            <w:tcW w:w="2552" w:type="dxa"/>
          </w:tcPr>
          <w:p w:rsidR="001250E1" w:rsidRDefault="00D56DAA">
            <w:pPr>
              <w:pStyle w:val="TableParagraph"/>
              <w:ind w:right="99"/>
              <w:rPr>
                <w:sz w:val="18"/>
              </w:rPr>
            </w:pPr>
            <w:r>
              <w:rPr>
                <w:sz w:val="18"/>
              </w:rPr>
              <w:t>Accumulated savings may be used to exercise an option to acquire ordinary shares. The option price of such ordinary shares may be discounted by up to the HMRC-approved level (currently 20%).</w:t>
            </w:r>
          </w:p>
        </w:tc>
        <w:tc>
          <w:tcPr>
            <w:tcW w:w="2554" w:type="dxa"/>
          </w:tcPr>
          <w:p w:rsidR="001250E1" w:rsidRDefault="00D56DAA">
            <w:pPr>
              <w:pStyle w:val="TableParagraph"/>
              <w:ind w:left="106" w:right="215"/>
              <w:rPr>
                <w:sz w:val="18"/>
              </w:rPr>
            </w:pPr>
            <w:r>
              <w:rPr>
                <w:sz w:val="18"/>
              </w:rPr>
              <w:t xml:space="preserve">Monthly contributions of up to the HMRC-approved limit over a </w:t>
            </w:r>
            <w:proofErr w:type="gramStart"/>
            <w:r>
              <w:rPr>
                <w:sz w:val="18"/>
              </w:rPr>
              <w:t>three or five year</w:t>
            </w:r>
            <w:proofErr w:type="gramEnd"/>
            <w:r>
              <w:rPr>
                <w:sz w:val="18"/>
              </w:rPr>
              <w:t xml:space="preserve"> period.</w:t>
            </w:r>
          </w:p>
        </w:tc>
        <w:tc>
          <w:tcPr>
            <w:tcW w:w="2549" w:type="dxa"/>
          </w:tcPr>
          <w:p w:rsidR="001250E1" w:rsidRDefault="00D56DAA">
            <w:pPr>
              <w:pStyle w:val="TableParagraph"/>
              <w:spacing w:line="217" w:lineRule="exact"/>
              <w:ind w:left="103"/>
              <w:rPr>
                <w:sz w:val="18"/>
              </w:rPr>
            </w:pPr>
            <w:r>
              <w:rPr>
                <w:sz w:val="18"/>
              </w:rPr>
              <w:t>None.</w:t>
            </w:r>
          </w:p>
        </w:tc>
      </w:tr>
      <w:tr w:rsidR="001250E1">
        <w:trPr>
          <w:trHeight w:val="1086"/>
        </w:trPr>
        <w:tc>
          <w:tcPr>
            <w:tcW w:w="2554" w:type="dxa"/>
          </w:tcPr>
          <w:p w:rsidR="001250E1" w:rsidRDefault="00D56DAA">
            <w:pPr>
              <w:pStyle w:val="TableParagraph"/>
              <w:ind w:right="139"/>
              <w:rPr>
                <w:sz w:val="18"/>
              </w:rPr>
            </w:pPr>
            <w:r>
              <w:rPr>
                <w:b/>
                <w:sz w:val="18"/>
              </w:rPr>
              <w:t xml:space="preserve">Shareholding Guidelines </w:t>
            </w:r>
            <w:r>
              <w:rPr>
                <w:sz w:val="18"/>
              </w:rPr>
              <w:t>Align the Executive Directors with the long-term interests of ordinary shareholders.</w:t>
            </w:r>
          </w:p>
        </w:tc>
        <w:tc>
          <w:tcPr>
            <w:tcW w:w="2552" w:type="dxa"/>
          </w:tcPr>
          <w:p w:rsidR="001250E1" w:rsidRDefault="00D56DAA">
            <w:pPr>
              <w:pStyle w:val="TableParagraph"/>
              <w:ind w:right="105"/>
              <w:rPr>
                <w:sz w:val="18"/>
              </w:rPr>
            </w:pPr>
            <w:r>
              <w:rPr>
                <w:sz w:val="18"/>
              </w:rPr>
              <w:t>Shareholding guidelines for Executive Directors are 200% of salary (built up</w:t>
            </w:r>
            <w:r>
              <w:rPr>
                <w:spacing w:val="-15"/>
                <w:sz w:val="18"/>
              </w:rPr>
              <w:t xml:space="preserve"> </w:t>
            </w:r>
            <w:r>
              <w:rPr>
                <w:sz w:val="18"/>
              </w:rPr>
              <w:t>over time).</w:t>
            </w:r>
          </w:p>
        </w:tc>
        <w:tc>
          <w:tcPr>
            <w:tcW w:w="2554" w:type="dxa"/>
          </w:tcPr>
          <w:p w:rsidR="001250E1" w:rsidRDefault="00D56DAA">
            <w:pPr>
              <w:pStyle w:val="TableParagraph"/>
              <w:spacing w:line="217" w:lineRule="exact"/>
              <w:ind w:left="106"/>
              <w:rPr>
                <w:sz w:val="18"/>
              </w:rPr>
            </w:pPr>
            <w:r>
              <w:rPr>
                <w:sz w:val="18"/>
              </w:rPr>
              <w:t>None.</w:t>
            </w:r>
          </w:p>
        </w:tc>
        <w:tc>
          <w:tcPr>
            <w:tcW w:w="2549" w:type="dxa"/>
          </w:tcPr>
          <w:p w:rsidR="001250E1" w:rsidRDefault="00D56DAA">
            <w:pPr>
              <w:pStyle w:val="TableParagraph"/>
              <w:spacing w:line="217" w:lineRule="exact"/>
              <w:ind w:left="103"/>
              <w:rPr>
                <w:sz w:val="18"/>
              </w:rPr>
            </w:pPr>
            <w:r>
              <w:rPr>
                <w:sz w:val="18"/>
              </w:rPr>
              <w:t>None.</w:t>
            </w:r>
          </w:p>
        </w:tc>
      </w:tr>
    </w:tbl>
    <w:p w:rsidR="001250E1" w:rsidRDefault="001250E1">
      <w:pPr>
        <w:spacing w:line="217" w:lineRule="exact"/>
        <w:rPr>
          <w:sz w:val="18"/>
        </w:rPr>
        <w:sectPr w:rsidR="001250E1" w:rsidSect="003D5C08">
          <w:pgSz w:w="11910" w:h="16840"/>
          <w:pgMar w:top="993" w:right="560" w:bottom="280" w:left="900"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552"/>
        <w:gridCol w:w="2554"/>
        <w:gridCol w:w="2549"/>
      </w:tblGrid>
      <w:tr w:rsidR="001250E1">
        <w:trPr>
          <w:trHeight w:val="652"/>
        </w:trPr>
        <w:tc>
          <w:tcPr>
            <w:tcW w:w="2554" w:type="dxa"/>
          </w:tcPr>
          <w:p w:rsidR="001250E1" w:rsidRDefault="00D56DAA">
            <w:pPr>
              <w:pStyle w:val="TableParagraph"/>
              <w:spacing w:before="2"/>
              <w:ind w:right="668"/>
              <w:rPr>
                <w:b/>
                <w:sz w:val="18"/>
              </w:rPr>
            </w:pPr>
            <w:r>
              <w:rPr>
                <w:b/>
                <w:sz w:val="18"/>
              </w:rPr>
              <w:lastRenderedPageBreak/>
              <w:t>Purpose and link to strategy</w:t>
            </w:r>
          </w:p>
        </w:tc>
        <w:tc>
          <w:tcPr>
            <w:tcW w:w="2552" w:type="dxa"/>
          </w:tcPr>
          <w:p w:rsidR="001250E1" w:rsidRDefault="00D56DAA">
            <w:pPr>
              <w:pStyle w:val="TableParagraph"/>
              <w:spacing w:before="2"/>
              <w:rPr>
                <w:b/>
                <w:sz w:val="18"/>
              </w:rPr>
            </w:pPr>
            <w:r>
              <w:rPr>
                <w:b/>
                <w:sz w:val="18"/>
              </w:rPr>
              <w:t>Operation</w:t>
            </w:r>
          </w:p>
        </w:tc>
        <w:tc>
          <w:tcPr>
            <w:tcW w:w="2554" w:type="dxa"/>
          </w:tcPr>
          <w:p w:rsidR="001250E1" w:rsidRDefault="00D56DAA">
            <w:pPr>
              <w:pStyle w:val="TableParagraph"/>
              <w:spacing w:before="2"/>
              <w:ind w:left="106"/>
              <w:rPr>
                <w:b/>
                <w:sz w:val="18"/>
              </w:rPr>
            </w:pPr>
            <w:r>
              <w:rPr>
                <w:b/>
                <w:sz w:val="18"/>
              </w:rPr>
              <w:t>Maximum opportunity</w:t>
            </w:r>
          </w:p>
        </w:tc>
        <w:tc>
          <w:tcPr>
            <w:tcW w:w="2549" w:type="dxa"/>
          </w:tcPr>
          <w:p w:rsidR="001250E1" w:rsidRDefault="00D56DAA">
            <w:pPr>
              <w:pStyle w:val="TableParagraph"/>
              <w:spacing w:before="2"/>
              <w:ind w:left="103"/>
              <w:rPr>
                <w:b/>
                <w:sz w:val="18"/>
              </w:rPr>
            </w:pPr>
            <w:r>
              <w:rPr>
                <w:b/>
                <w:sz w:val="18"/>
              </w:rPr>
              <w:t>Performance metrics</w:t>
            </w:r>
          </w:p>
        </w:tc>
      </w:tr>
      <w:tr w:rsidR="001250E1">
        <w:trPr>
          <w:trHeight w:val="9124"/>
        </w:trPr>
        <w:tc>
          <w:tcPr>
            <w:tcW w:w="2554" w:type="dxa"/>
          </w:tcPr>
          <w:p w:rsidR="001250E1" w:rsidRDefault="00D56DAA">
            <w:pPr>
              <w:pStyle w:val="TableParagraph"/>
              <w:ind w:right="168"/>
              <w:rPr>
                <w:b/>
                <w:sz w:val="18"/>
              </w:rPr>
            </w:pPr>
            <w:r>
              <w:rPr>
                <w:b/>
                <w:sz w:val="18"/>
              </w:rPr>
              <w:t>Non-Executive Directors’ Fees</w:t>
            </w:r>
          </w:p>
          <w:p w:rsidR="001250E1" w:rsidRDefault="00D56DAA">
            <w:pPr>
              <w:pStyle w:val="TableParagraph"/>
              <w:spacing w:before="2"/>
              <w:ind w:right="289"/>
              <w:rPr>
                <w:sz w:val="18"/>
              </w:rPr>
            </w:pPr>
            <w:r>
              <w:rPr>
                <w:sz w:val="18"/>
              </w:rPr>
              <w:t xml:space="preserve">Attract non-executive directors of </w:t>
            </w:r>
            <w:proofErr w:type="gramStart"/>
            <w:r>
              <w:rPr>
                <w:sz w:val="18"/>
              </w:rPr>
              <w:t>sufficient</w:t>
            </w:r>
            <w:proofErr w:type="gramEnd"/>
            <w:r>
              <w:rPr>
                <w:sz w:val="18"/>
              </w:rPr>
              <w:t xml:space="preserve"> skills and experience to fulfil the role.</w:t>
            </w:r>
          </w:p>
        </w:tc>
        <w:tc>
          <w:tcPr>
            <w:tcW w:w="2552" w:type="dxa"/>
          </w:tcPr>
          <w:p w:rsidR="001250E1" w:rsidRDefault="00D56DAA">
            <w:pPr>
              <w:pStyle w:val="TableParagraph"/>
              <w:ind w:right="127"/>
              <w:rPr>
                <w:sz w:val="18"/>
              </w:rPr>
            </w:pPr>
            <w:r>
              <w:rPr>
                <w:sz w:val="18"/>
              </w:rPr>
              <w:t>The fees for Non-Executive Directors comprise a basic payment plus additional payments for being Chairman of a Board Committee, a Committee member or for being the Senior Independent</w:t>
            </w:r>
            <w:r>
              <w:rPr>
                <w:spacing w:val="-13"/>
                <w:sz w:val="18"/>
              </w:rPr>
              <w:t xml:space="preserve"> </w:t>
            </w:r>
            <w:r>
              <w:rPr>
                <w:sz w:val="18"/>
              </w:rPr>
              <w:t>Director.</w:t>
            </w:r>
          </w:p>
          <w:p w:rsidR="001250E1" w:rsidRDefault="001250E1">
            <w:pPr>
              <w:pStyle w:val="TableParagraph"/>
              <w:ind w:left="0"/>
              <w:rPr>
                <w:sz w:val="18"/>
              </w:rPr>
            </w:pPr>
          </w:p>
          <w:p w:rsidR="001250E1" w:rsidRDefault="00D56DAA">
            <w:pPr>
              <w:pStyle w:val="TableParagraph"/>
              <w:ind w:right="102"/>
              <w:rPr>
                <w:sz w:val="18"/>
              </w:rPr>
            </w:pPr>
            <w:r>
              <w:rPr>
                <w:sz w:val="18"/>
              </w:rPr>
              <w:t>Differential fee levels may be paid for Non-Executive Directors depending on the skills, experience, nationality and responsibilities of an individual or additional time commitments for the role.</w:t>
            </w:r>
          </w:p>
          <w:p w:rsidR="001250E1" w:rsidRDefault="00D56DAA">
            <w:pPr>
              <w:pStyle w:val="TableParagraph"/>
              <w:rPr>
                <w:sz w:val="18"/>
              </w:rPr>
            </w:pPr>
            <w:r>
              <w:rPr>
                <w:sz w:val="18"/>
              </w:rPr>
              <w:t>Any Non-Executive Chairman would receive a fee for his services to the Company.</w:t>
            </w:r>
          </w:p>
          <w:p w:rsidR="001250E1" w:rsidRDefault="001250E1">
            <w:pPr>
              <w:pStyle w:val="TableParagraph"/>
              <w:ind w:left="0"/>
              <w:rPr>
                <w:sz w:val="18"/>
              </w:rPr>
            </w:pPr>
          </w:p>
          <w:p w:rsidR="001250E1" w:rsidRDefault="00D56DAA">
            <w:pPr>
              <w:pStyle w:val="TableParagraph"/>
              <w:ind w:right="149" w:hanging="1"/>
              <w:rPr>
                <w:sz w:val="18"/>
              </w:rPr>
            </w:pPr>
            <w:r>
              <w:rPr>
                <w:sz w:val="18"/>
              </w:rPr>
              <w:t>A portion of any Non- Executive Chairman’s fee and the Non-Executive Directors’ fees may be delivered as ordinary</w:t>
            </w:r>
            <w:r>
              <w:rPr>
                <w:spacing w:val="-15"/>
                <w:sz w:val="18"/>
              </w:rPr>
              <w:t xml:space="preserve"> </w:t>
            </w:r>
            <w:r>
              <w:rPr>
                <w:sz w:val="18"/>
              </w:rPr>
              <w:t>shares.</w:t>
            </w:r>
          </w:p>
          <w:p w:rsidR="001250E1" w:rsidRDefault="001250E1">
            <w:pPr>
              <w:pStyle w:val="TableParagraph"/>
              <w:spacing w:before="11"/>
              <w:ind w:left="0"/>
              <w:rPr>
                <w:sz w:val="17"/>
              </w:rPr>
            </w:pPr>
          </w:p>
          <w:p w:rsidR="001250E1" w:rsidRDefault="00D56DAA">
            <w:pPr>
              <w:pStyle w:val="TableParagraph"/>
              <w:ind w:right="90"/>
              <w:rPr>
                <w:sz w:val="18"/>
              </w:rPr>
            </w:pPr>
            <w:r>
              <w:rPr>
                <w:sz w:val="18"/>
              </w:rPr>
              <w:t>Non-Executive Directors’ fees are reviewed periodically by the Board with reference to external benchmarking.</w:t>
            </w:r>
          </w:p>
          <w:p w:rsidR="001250E1" w:rsidRDefault="001250E1">
            <w:pPr>
              <w:pStyle w:val="TableParagraph"/>
              <w:spacing w:before="1"/>
              <w:ind w:left="0"/>
              <w:rPr>
                <w:sz w:val="18"/>
              </w:rPr>
            </w:pPr>
          </w:p>
          <w:p w:rsidR="001250E1" w:rsidRDefault="00D56DAA">
            <w:pPr>
              <w:pStyle w:val="TableParagraph"/>
              <w:ind w:right="190"/>
              <w:rPr>
                <w:sz w:val="18"/>
              </w:rPr>
            </w:pPr>
            <w:r>
              <w:rPr>
                <w:sz w:val="18"/>
              </w:rPr>
              <w:t>The Company repays any reasonable expenses that a Non-Executive Director incurs in carrying out their duties as a director, including travel, hospitality- related and other benefits (e.g. office costs), and any tax liabilities thereon, where appropriate.</w:t>
            </w:r>
          </w:p>
        </w:tc>
        <w:tc>
          <w:tcPr>
            <w:tcW w:w="2554" w:type="dxa"/>
          </w:tcPr>
          <w:p w:rsidR="001250E1" w:rsidRDefault="00D56DAA">
            <w:pPr>
              <w:pStyle w:val="TableParagraph"/>
              <w:spacing w:line="217" w:lineRule="exact"/>
              <w:ind w:left="106"/>
              <w:rPr>
                <w:sz w:val="18"/>
              </w:rPr>
            </w:pPr>
            <w:r>
              <w:rPr>
                <w:sz w:val="18"/>
              </w:rPr>
              <w:t>None.</w:t>
            </w:r>
          </w:p>
        </w:tc>
        <w:tc>
          <w:tcPr>
            <w:tcW w:w="2549" w:type="dxa"/>
          </w:tcPr>
          <w:p w:rsidR="001250E1" w:rsidRDefault="00D56DAA">
            <w:pPr>
              <w:pStyle w:val="TableParagraph"/>
              <w:spacing w:line="217" w:lineRule="exact"/>
              <w:ind w:left="103"/>
              <w:rPr>
                <w:sz w:val="18"/>
              </w:rPr>
            </w:pPr>
            <w:r>
              <w:rPr>
                <w:sz w:val="18"/>
              </w:rPr>
              <w:t>None.</w:t>
            </w:r>
          </w:p>
        </w:tc>
      </w:tr>
    </w:tbl>
    <w:p w:rsidR="001250E1" w:rsidRDefault="00D56DAA">
      <w:pPr>
        <w:spacing w:before="4"/>
        <w:ind w:left="112"/>
        <w:rPr>
          <w:b/>
          <w:sz w:val="16"/>
        </w:rPr>
      </w:pPr>
      <w:r>
        <w:rPr>
          <w:b/>
          <w:sz w:val="16"/>
        </w:rPr>
        <w:t>Notes:</w:t>
      </w:r>
    </w:p>
    <w:p w:rsidR="001250E1" w:rsidRDefault="00D56DAA">
      <w:pPr>
        <w:pStyle w:val="ListParagraph"/>
        <w:numPr>
          <w:ilvl w:val="0"/>
          <w:numId w:val="5"/>
        </w:numPr>
        <w:tabs>
          <w:tab w:val="left" w:pos="399"/>
        </w:tabs>
        <w:spacing w:before="62"/>
        <w:rPr>
          <w:b/>
          <w:sz w:val="16"/>
        </w:rPr>
      </w:pPr>
      <w:r>
        <w:rPr>
          <w:b/>
          <w:sz w:val="16"/>
        </w:rPr>
        <w:t>Annual</w:t>
      </w:r>
      <w:r>
        <w:rPr>
          <w:b/>
          <w:spacing w:val="-2"/>
          <w:sz w:val="16"/>
        </w:rPr>
        <w:t xml:space="preserve"> </w:t>
      </w:r>
      <w:r>
        <w:rPr>
          <w:b/>
          <w:sz w:val="16"/>
        </w:rPr>
        <w:t>bonus</w:t>
      </w:r>
    </w:p>
    <w:p w:rsidR="001250E1" w:rsidRDefault="00D56DAA">
      <w:pPr>
        <w:spacing w:before="56" w:line="242" w:lineRule="auto"/>
        <w:ind w:left="112" w:right="147"/>
        <w:jc w:val="both"/>
        <w:rPr>
          <w:sz w:val="16"/>
        </w:rPr>
      </w:pPr>
      <w:r>
        <w:rPr>
          <w:sz w:val="16"/>
        </w:rPr>
        <w:t>Annual bonus performance measures have been chosen to provide an appropriate balance between incentivising Executive Directors (excluding the</w:t>
      </w:r>
      <w:r>
        <w:rPr>
          <w:spacing w:val="-7"/>
          <w:sz w:val="16"/>
        </w:rPr>
        <w:t xml:space="preserve"> </w:t>
      </w:r>
      <w:r>
        <w:rPr>
          <w:sz w:val="16"/>
        </w:rPr>
        <w:t>Executive</w:t>
      </w:r>
      <w:r>
        <w:rPr>
          <w:spacing w:val="-4"/>
          <w:sz w:val="16"/>
        </w:rPr>
        <w:t xml:space="preserve"> </w:t>
      </w:r>
      <w:r>
        <w:rPr>
          <w:sz w:val="16"/>
        </w:rPr>
        <w:t>Chairman)</w:t>
      </w:r>
      <w:r>
        <w:rPr>
          <w:spacing w:val="-6"/>
          <w:sz w:val="16"/>
        </w:rPr>
        <w:t xml:space="preserve"> </w:t>
      </w:r>
      <w:r>
        <w:rPr>
          <w:sz w:val="16"/>
        </w:rPr>
        <w:t>to</w:t>
      </w:r>
      <w:r>
        <w:rPr>
          <w:spacing w:val="-4"/>
          <w:sz w:val="16"/>
        </w:rPr>
        <w:t xml:space="preserve"> </w:t>
      </w:r>
      <w:r>
        <w:rPr>
          <w:sz w:val="16"/>
        </w:rPr>
        <w:t>meet</w:t>
      </w:r>
      <w:r>
        <w:rPr>
          <w:spacing w:val="-5"/>
          <w:sz w:val="16"/>
        </w:rPr>
        <w:t xml:space="preserve"> </w:t>
      </w:r>
      <w:r>
        <w:rPr>
          <w:sz w:val="16"/>
        </w:rPr>
        <w:t>financial</w:t>
      </w:r>
      <w:r>
        <w:rPr>
          <w:spacing w:val="-7"/>
          <w:sz w:val="16"/>
        </w:rPr>
        <w:t xml:space="preserve"> </w:t>
      </w:r>
      <w:r>
        <w:rPr>
          <w:sz w:val="16"/>
        </w:rPr>
        <w:t>targets</w:t>
      </w:r>
      <w:r>
        <w:rPr>
          <w:spacing w:val="-3"/>
          <w:sz w:val="16"/>
        </w:rPr>
        <w:t xml:space="preserve"> </w:t>
      </w:r>
      <w:r>
        <w:rPr>
          <w:sz w:val="16"/>
        </w:rPr>
        <w:t>for</w:t>
      </w:r>
      <w:r>
        <w:rPr>
          <w:spacing w:val="-5"/>
          <w:sz w:val="16"/>
        </w:rPr>
        <w:t xml:space="preserve"> </w:t>
      </w:r>
      <w:r>
        <w:rPr>
          <w:sz w:val="16"/>
        </w:rPr>
        <w:t>the</w:t>
      </w:r>
      <w:r>
        <w:rPr>
          <w:spacing w:val="-6"/>
          <w:sz w:val="16"/>
        </w:rPr>
        <w:t xml:space="preserve"> </w:t>
      </w:r>
      <w:r>
        <w:rPr>
          <w:sz w:val="16"/>
        </w:rPr>
        <w:t>year</w:t>
      </w:r>
      <w:r>
        <w:rPr>
          <w:spacing w:val="-7"/>
          <w:sz w:val="16"/>
        </w:rPr>
        <w:t xml:space="preserve"> </w:t>
      </w:r>
      <w:r>
        <w:rPr>
          <w:sz w:val="16"/>
        </w:rPr>
        <w:t>and</w:t>
      </w:r>
      <w:r>
        <w:rPr>
          <w:spacing w:val="-6"/>
          <w:sz w:val="16"/>
        </w:rPr>
        <w:t xml:space="preserve"> </w:t>
      </w:r>
      <w:r>
        <w:rPr>
          <w:sz w:val="16"/>
        </w:rPr>
        <w:t>to</w:t>
      </w:r>
      <w:r>
        <w:rPr>
          <w:spacing w:val="-4"/>
          <w:sz w:val="16"/>
        </w:rPr>
        <w:t xml:space="preserve"> </w:t>
      </w:r>
      <w:r>
        <w:rPr>
          <w:sz w:val="16"/>
        </w:rPr>
        <w:t>deliver</w:t>
      </w:r>
      <w:r>
        <w:rPr>
          <w:spacing w:val="-7"/>
          <w:sz w:val="16"/>
        </w:rPr>
        <w:t xml:space="preserve"> </w:t>
      </w:r>
      <w:r>
        <w:rPr>
          <w:sz w:val="16"/>
        </w:rPr>
        <w:t>the</w:t>
      </w:r>
      <w:r>
        <w:rPr>
          <w:spacing w:val="-6"/>
          <w:sz w:val="16"/>
        </w:rPr>
        <w:t xml:space="preserve"> </w:t>
      </w:r>
      <w:r>
        <w:rPr>
          <w:sz w:val="16"/>
        </w:rPr>
        <w:t>Group’s</w:t>
      </w:r>
      <w:r>
        <w:rPr>
          <w:spacing w:val="-7"/>
          <w:sz w:val="16"/>
        </w:rPr>
        <w:t xml:space="preserve"> </w:t>
      </w:r>
      <w:r>
        <w:rPr>
          <w:sz w:val="16"/>
        </w:rPr>
        <w:t>KRAs.</w:t>
      </w:r>
      <w:r>
        <w:rPr>
          <w:spacing w:val="-7"/>
          <w:sz w:val="16"/>
        </w:rPr>
        <w:t xml:space="preserve"> </w:t>
      </w:r>
      <w:r>
        <w:rPr>
          <w:sz w:val="16"/>
        </w:rPr>
        <w:t>This</w:t>
      </w:r>
      <w:r>
        <w:rPr>
          <w:spacing w:val="-5"/>
          <w:sz w:val="16"/>
        </w:rPr>
        <w:t xml:space="preserve"> </w:t>
      </w:r>
      <w:r>
        <w:rPr>
          <w:sz w:val="16"/>
        </w:rPr>
        <w:t>balance</w:t>
      </w:r>
      <w:r>
        <w:rPr>
          <w:spacing w:val="-7"/>
          <w:sz w:val="16"/>
        </w:rPr>
        <w:t xml:space="preserve"> </w:t>
      </w:r>
      <w:r>
        <w:rPr>
          <w:sz w:val="16"/>
        </w:rPr>
        <w:t>allows</w:t>
      </w:r>
      <w:r>
        <w:rPr>
          <w:spacing w:val="-6"/>
          <w:sz w:val="16"/>
        </w:rPr>
        <w:t xml:space="preserve"> </w:t>
      </w:r>
      <w:r>
        <w:rPr>
          <w:sz w:val="16"/>
        </w:rPr>
        <w:t>the</w:t>
      </w:r>
      <w:r>
        <w:rPr>
          <w:spacing w:val="-7"/>
          <w:sz w:val="16"/>
        </w:rPr>
        <w:t xml:space="preserve"> </w:t>
      </w:r>
      <w:r>
        <w:rPr>
          <w:sz w:val="16"/>
        </w:rPr>
        <w:t>Remuneration</w:t>
      </w:r>
      <w:r>
        <w:rPr>
          <w:spacing w:val="-4"/>
          <w:sz w:val="16"/>
        </w:rPr>
        <w:t xml:space="preserve"> </w:t>
      </w:r>
      <w:r>
        <w:rPr>
          <w:sz w:val="16"/>
        </w:rPr>
        <w:t>Committee to effectively reward performance against the key elements of the Group’s strategy. Threshold and stretch targets are derived from a review of the historical and projected performance of the Group and its peers, together with an analysis of analysts’</w:t>
      </w:r>
      <w:r>
        <w:rPr>
          <w:spacing w:val="-18"/>
          <w:sz w:val="16"/>
        </w:rPr>
        <w:t xml:space="preserve"> </w:t>
      </w:r>
      <w:r>
        <w:rPr>
          <w:sz w:val="16"/>
        </w:rPr>
        <w:t>expectations.</w:t>
      </w:r>
    </w:p>
    <w:p w:rsidR="001250E1" w:rsidRDefault="00D56DAA">
      <w:pPr>
        <w:pStyle w:val="ListParagraph"/>
        <w:numPr>
          <w:ilvl w:val="0"/>
          <w:numId w:val="5"/>
        </w:numPr>
        <w:tabs>
          <w:tab w:val="left" w:pos="399"/>
        </w:tabs>
        <w:spacing w:before="55"/>
        <w:rPr>
          <w:b/>
          <w:sz w:val="16"/>
        </w:rPr>
      </w:pPr>
      <w:r>
        <w:rPr>
          <w:b/>
          <w:sz w:val="16"/>
        </w:rPr>
        <w:t>2019</w:t>
      </w:r>
      <w:r>
        <w:rPr>
          <w:b/>
          <w:spacing w:val="-1"/>
          <w:sz w:val="16"/>
        </w:rPr>
        <w:t xml:space="preserve"> </w:t>
      </w:r>
      <w:r>
        <w:rPr>
          <w:b/>
          <w:sz w:val="16"/>
        </w:rPr>
        <w:t>LTIP</w:t>
      </w:r>
    </w:p>
    <w:p w:rsidR="001250E1" w:rsidRDefault="00D56DAA">
      <w:pPr>
        <w:spacing w:before="59"/>
        <w:ind w:left="112" w:right="146"/>
        <w:jc w:val="both"/>
        <w:rPr>
          <w:sz w:val="16"/>
        </w:rPr>
      </w:pPr>
      <w:r>
        <w:rPr>
          <w:sz w:val="16"/>
        </w:rPr>
        <w:t>The</w:t>
      </w:r>
      <w:r>
        <w:rPr>
          <w:spacing w:val="-4"/>
          <w:sz w:val="16"/>
        </w:rPr>
        <w:t xml:space="preserve"> </w:t>
      </w:r>
      <w:proofErr w:type="gramStart"/>
      <w:r>
        <w:rPr>
          <w:sz w:val="16"/>
        </w:rPr>
        <w:t>ultimate</w:t>
      </w:r>
      <w:r>
        <w:rPr>
          <w:spacing w:val="-3"/>
          <w:sz w:val="16"/>
        </w:rPr>
        <w:t xml:space="preserve"> </w:t>
      </w:r>
      <w:r>
        <w:rPr>
          <w:sz w:val="16"/>
        </w:rPr>
        <w:t>goal</w:t>
      </w:r>
      <w:proofErr w:type="gramEnd"/>
      <w:r>
        <w:rPr>
          <w:spacing w:val="-4"/>
          <w:sz w:val="16"/>
        </w:rPr>
        <w:t xml:space="preserve"> </w:t>
      </w:r>
      <w:r>
        <w:rPr>
          <w:sz w:val="16"/>
        </w:rPr>
        <w:t>of</w:t>
      </w:r>
      <w:r>
        <w:rPr>
          <w:spacing w:val="-3"/>
          <w:sz w:val="16"/>
        </w:rPr>
        <w:t xml:space="preserve"> </w:t>
      </w:r>
      <w:r>
        <w:rPr>
          <w:sz w:val="16"/>
        </w:rPr>
        <w:t>the</w:t>
      </w:r>
      <w:r>
        <w:rPr>
          <w:spacing w:val="-3"/>
          <w:sz w:val="16"/>
        </w:rPr>
        <w:t xml:space="preserve"> </w:t>
      </w:r>
      <w:r>
        <w:rPr>
          <w:sz w:val="16"/>
        </w:rPr>
        <w:t>Company</w:t>
      </w:r>
      <w:r>
        <w:rPr>
          <w:spacing w:val="-2"/>
          <w:sz w:val="16"/>
        </w:rPr>
        <w:t xml:space="preserve"> </w:t>
      </w:r>
      <w:r>
        <w:rPr>
          <w:sz w:val="16"/>
        </w:rPr>
        <w:t>is</w:t>
      </w:r>
      <w:r>
        <w:rPr>
          <w:spacing w:val="-2"/>
          <w:sz w:val="16"/>
        </w:rPr>
        <w:t xml:space="preserve"> </w:t>
      </w:r>
      <w:r>
        <w:rPr>
          <w:sz w:val="16"/>
        </w:rPr>
        <w:t>to</w:t>
      </w:r>
      <w:r>
        <w:rPr>
          <w:spacing w:val="-4"/>
          <w:sz w:val="16"/>
        </w:rPr>
        <w:t xml:space="preserve"> </w:t>
      </w:r>
      <w:r>
        <w:rPr>
          <w:sz w:val="16"/>
        </w:rPr>
        <w:t>provide</w:t>
      </w:r>
      <w:r>
        <w:rPr>
          <w:spacing w:val="-3"/>
          <w:sz w:val="16"/>
        </w:rPr>
        <w:t xml:space="preserve"> </w:t>
      </w:r>
      <w:r>
        <w:rPr>
          <w:sz w:val="16"/>
        </w:rPr>
        <w:t>long</w:t>
      </w:r>
      <w:r>
        <w:rPr>
          <w:spacing w:val="-3"/>
          <w:sz w:val="16"/>
        </w:rPr>
        <w:t xml:space="preserve"> </w:t>
      </w:r>
      <w:r>
        <w:rPr>
          <w:sz w:val="16"/>
        </w:rPr>
        <w:t>term</w:t>
      </w:r>
      <w:r>
        <w:rPr>
          <w:spacing w:val="-3"/>
          <w:sz w:val="16"/>
        </w:rPr>
        <w:t xml:space="preserve"> </w:t>
      </w:r>
      <w:r>
        <w:rPr>
          <w:sz w:val="16"/>
        </w:rPr>
        <w:t>sustainable returns</w:t>
      </w:r>
      <w:r>
        <w:rPr>
          <w:spacing w:val="-3"/>
          <w:sz w:val="16"/>
        </w:rPr>
        <w:t xml:space="preserve"> </w:t>
      </w:r>
      <w:r>
        <w:rPr>
          <w:sz w:val="16"/>
        </w:rPr>
        <w:t>to</w:t>
      </w:r>
      <w:r>
        <w:rPr>
          <w:spacing w:val="-3"/>
          <w:sz w:val="16"/>
        </w:rPr>
        <w:t xml:space="preserve"> </w:t>
      </w:r>
      <w:r>
        <w:rPr>
          <w:sz w:val="16"/>
        </w:rPr>
        <w:t>ordinary</w:t>
      </w:r>
      <w:r>
        <w:rPr>
          <w:spacing w:val="-4"/>
          <w:sz w:val="16"/>
        </w:rPr>
        <w:t xml:space="preserve"> </w:t>
      </w:r>
      <w:r>
        <w:rPr>
          <w:sz w:val="16"/>
        </w:rPr>
        <w:t>shareholders.</w:t>
      </w:r>
      <w:r>
        <w:rPr>
          <w:spacing w:val="-3"/>
          <w:sz w:val="16"/>
        </w:rPr>
        <w:t xml:space="preserve"> </w:t>
      </w:r>
      <w:r>
        <w:rPr>
          <w:sz w:val="16"/>
        </w:rPr>
        <w:t>The</w:t>
      </w:r>
      <w:r>
        <w:rPr>
          <w:spacing w:val="-3"/>
          <w:sz w:val="16"/>
        </w:rPr>
        <w:t xml:space="preserve"> </w:t>
      </w:r>
      <w:r>
        <w:rPr>
          <w:sz w:val="16"/>
        </w:rPr>
        <w:t>performance</w:t>
      </w:r>
      <w:r>
        <w:rPr>
          <w:spacing w:val="-4"/>
          <w:sz w:val="16"/>
        </w:rPr>
        <w:t xml:space="preserve"> </w:t>
      </w:r>
      <w:r>
        <w:rPr>
          <w:sz w:val="16"/>
        </w:rPr>
        <w:t>measures</w:t>
      </w:r>
      <w:r>
        <w:rPr>
          <w:spacing w:val="-2"/>
          <w:sz w:val="16"/>
        </w:rPr>
        <w:t xml:space="preserve"> </w:t>
      </w:r>
      <w:r>
        <w:rPr>
          <w:sz w:val="16"/>
        </w:rPr>
        <w:t>are</w:t>
      </w:r>
      <w:r>
        <w:rPr>
          <w:spacing w:val="-4"/>
          <w:sz w:val="16"/>
        </w:rPr>
        <w:t xml:space="preserve"> </w:t>
      </w:r>
      <w:r>
        <w:rPr>
          <w:sz w:val="16"/>
        </w:rPr>
        <w:t xml:space="preserve">intended to align Executive Director (excluding the Executive Chairman) remuneration with this goal. Targets are set with reference to the strategic goals of the Group and wider market practice and are positioned at a level which the Remuneration Committee considers </w:t>
      </w:r>
      <w:proofErr w:type="gramStart"/>
      <w:r>
        <w:rPr>
          <w:sz w:val="16"/>
        </w:rPr>
        <w:t>to represent</w:t>
      </w:r>
      <w:proofErr w:type="gramEnd"/>
      <w:r>
        <w:rPr>
          <w:sz w:val="16"/>
        </w:rPr>
        <w:t xml:space="preserve"> stretching performance.</w:t>
      </w:r>
    </w:p>
    <w:p w:rsidR="001250E1" w:rsidRDefault="00D56DAA">
      <w:pPr>
        <w:spacing w:before="60"/>
        <w:ind w:left="112"/>
        <w:rPr>
          <w:b/>
          <w:sz w:val="16"/>
        </w:rPr>
      </w:pPr>
      <w:r>
        <w:rPr>
          <w:b/>
          <w:sz w:val="16"/>
        </w:rPr>
        <w:t>3. 2019 TIP</w:t>
      </w:r>
    </w:p>
    <w:p w:rsidR="001250E1" w:rsidRDefault="00D56DAA">
      <w:pPr>
        <w:spacing w:before="59"/>
        <w:ind w:left="112" w:right="81"/>
        <w:rPr>
          <w:sz w:val="16"/>
        </w:rPr>
      </w:pPr>
      <w:r>
        <w:rPr>
          <w:sz w:val="16"/>
        </w:rPr>
        <w:t xml:space="preserve">The </w:t>
      </w:r>
      <w:proofErr w:type="gramStart"/>
      <w:r>
        <w:rPr>
          <w:sz w:val="16"/>
        </w:rPr>
        <w:t>ultimate goal</w:t>
      </w:r>
      <w:proofErr w:type="gramEnd"/>
      <w:r>
        <w:rPr>
          <w:sz w:val="16"/>
        </w:rPr>
        <w:t xml:space="preserve"> of the Company is to provide long term sustainable returns to ordinary shareholders. The absolute TSR targets are intended to align the Executive Chairman’s remuneration with this goal.</w:t>
      </w:r>
    </w:p>
    <w:p w:rsidR="001250E1" w:rsidRDefault="00D56DAA">
      <w:pPr>
        <w:spacing w:before="63"/>
        <w:ind w:left="112"/>
        <w:rPr>
          <w:b/>
          <w:sz w:val="16"/>
        </w:rPr>
      </w:pPr>
      <w:r>
        <w:rPr>
          <w:b/>
          <w:sz w:val="16"/>
        </w:rPr>
        <w:t>4. Differences in remuneration policy for Directors and other employees</w:t>
      </w:r>
    </w:p>
    <w:p w:rsidR="001250E1" w:rsidRDefault="00D56DAA">
      <w:pPr>
        <w:spacing w:before="56"/>
        <w:ind w:left="112" w:right="146"/>
        <w:jc w:val="both"/>
        <w:rPr>
          <w:sz w:val="16"/>
        </w:rPr>
      </w:pPr>
      <w:r>
        <w:rPr>
          <w:sz w:val="16"/>
        </w:rPr>
        <w:t xml:space="preserve">Remuneration arrangements throughout the Group are based on the principle that reward should be set at competitive levels to support the delivery of the Group’s strategy </w:t>
      </w:r>
      <w:proofErr w:type="gramStart"/>
      <w:r>
        <w:rPr>
          <w:sz w:val="16"/>
        </w:rPr>
        <w:t>and also</w:t>
      </w:r>
      <w:proofErr w:type="gramEnd"/>
      <w:r>
        <w:rPr>
          <w:sz w:val="16"/>
        </w:rPr>
        <w:t xml:space="preserve"> attract, retain and motivate individuals who have the necessary skills for each role. Pay differs for employees of different seniority and for those operating in different parts of the world. For example, in accordance with market practice and shareholder expectations, the remuneration arrangements for the Executive Directors and senior executives place a more significant emphasis on long term performance related pay compared to employees. The Company also operates a HMRC-approved </w:t>
      </w:r>
      <w:proofErr w:type="spellStart"/>
      <w:r>
        <w:rPr>
          <w:sz w:val="16"/>
        </w:rPr>
        <w:t>Sharesave</w:t>
      </w:r>
      <w:proofErr w:type="spellEnd"/>
      <w:r>
        <w:rPr>
          <w:sz w:val="16"/>
        </w:rPr>
        <w:t xml:space="preserve"> Scheme, in which all employees (including Executive Directors) are eligible to participate and which aims to promote a sense of ownership amongst staff.</w:t>
      </w:r>
    </w:p>
    <w:p w:rsidR="001250E1" w:rsidRDefault="001250E1">
      <w:pPr>
        <w:jc w:val="both"/>
        <w:rPr>
          <w:sz w:val="16"/>
        </w:rPr>
        <w:sectPr w:rsidR="001250E1" w:rsidSect="003D5C08">
          <w:pgSz w:w="11910" w:h="16840"/>
          <w:pgMar w:top="940" w:right="560" w:bottom="280" w:left="900" w:header="720" w:footer="720" w:gutter="0"/>
          <w:cols w:space="720"/>
        </w:sectPr>
      </w:pPr>
    </w:p>
    <w:p w:rsidR="001250E1" w:rsidRDefault="00D56DAA">
      <w:pPr>
        <w:spacing w:before="80"/>
        <w:ind w:left="112" w:right="145"/>
        <w:jc w:val="both"/>
        <w:rPr>
          <w:sz w:val="16"/>
        </w:rPr>
      </w:pPr>
      <w:r>
        <w:rPr>
          <w:sz w:val="16"/>
        </w:rPr>
        <w:lastRenderedPageBreak/>
        <w:t>The Remuneration Committee reserves the right to make any remuneration payments and/or payments for loss of office (including exercising any discretions available to it in connection with such payments), notwithstanding that they are not in line with the Remuneration Policy set out above, where the terms of the payment were agreed: (</w:t>
      </w:r>
      <w:proofErr w:type="spellStart"/>
      <w:r>
        <w:rPr>
          <w:sz w:val="16"/>
        </w:rPr>
        <w:t>i</w:t>
      </w:r>
      <w:proofErr w:type="spellEnd"/>
      <w:r>
        <w:rPr>
          <w:sz w:val="16"/>
        </w:rPr>
        <w:t>) before 16 May 2014 (the date on which the Company’s first shareholder-approved Directors’ remuneration policy came into effect); (ii) before the Remuneration Policy set out above came into effect, provided that the terms of the payment were consistent with the shareholder-approved Directors’ remuneration policy in force at the time they were agreed; or (iii) at a time when the relevant individual was not a Director and, in the opinion of the Remuneration Committee, the payment was not in consideration for the individual becoming a Director. For these purposes ‘payments’ includes the Remuneration Committee satisfying awards of variable remuneration and, in relation to an award over ordinary shares, the terms of the payment are ‘agreed’ at the time the award is granted.</w:t>
      </w:r>
    </w:p>
    <w:p w:rsidR="001250E1" w:rsidRDefault="001250E1">
      <w:pPr>
        <w:pStyle w:val="BodyText"/>
        <w:spacing w:before="11"/>
        <w:rPr>
          <w:sz w:val="21"/>
        </w:rPr>
      </w:pPr>
    </w:p>
    <w:p w:rsidR="001250E1" w:rsidRDefault="00D56DAA">
      <w:pPr>
        <w:spacing w:before="1" w:line="242" w:lineRule="auto"/>
        <w:ind w:left="112" w:right="146" w:hanging="1"/>
        <w:jc w:val="both"/>
        <w:rPr>
          <w:sz w:val="16"/>
        </w:rPr>
      </w:pPr>
      <w:r>
        <w:rPr>
          <w:sz w:val="16"/>
        </w:rPr>
        <w:t>Payments</w:t>
      </w:r>
      <w:r>
        <w:rPr>
          <w:spacing w:val="-10"/>
          <w:sz w:val="16"/>
        </w:rPr>
        <w:t xml:space="preserve"> </w:t>
      </w:r>
      <w:r>
        <w:rPr>
          <w:sz w:val="16"/>
        </w:rPr>
        <w:t>may</w:t>
      </w:r>
      <w:r>
        <w:rPr>
          <w:spacing w:val="-10"/>
          <w:sz w:val="16"/>
        </w:rPr>
        <w:t xml:space="preserve"> </w:t>
      </w:r>
      <w:r>
        <w:rPr>
          <w:sz w:val="16"/>
        </w:rPr>
        <w:t>be</w:t>
      </w:r>
      <w:r>
        <w:rPr>
          <w:spacing w:val="-10"/>
          <w:sz w:val="16"/>
        </w:rPr>
        <w:t xml:space="preserve"> </w:t>
      </w:r>
      <w:r>
        <w:rPr>
          <w:sz w:val="16"/>
        </w:rPr>
        <w:t>made</w:t>
      </w:r>
      <w:r>
        <w:rPr>
          <w:spacing w:val="-11"/>
          <w:sz w:val="16"/>
        </w:rPr>
        <w:t xml:space="preserve"> </w:t>
      </w:r>
      <w:r>
        <w:rPr>
          <w:sz w:val="16"/>
        </w:rPr>
        <w:t>in</w:t>
      </w:r>
      <w:r>
        <w:rPr>
          <w:spacing w:val="-10"/>
          <w:sz w:val="16"/>
        </w:rPr>
        <w:t xml:space="preserve"> </w:t>
      </w:r>
      <w:r>
        <w:rPr>
          <w:sz w:val="16"/>
        </w:rPr>
        <w:t>respect</w:t>
      </w:r>
      <w:r>
        <w:rPr>
          <w:spacing w:val="-13"/>
          <w:sz w:val="16"/>
        </w:rPr>
        <w:t xml:space="preserve"> </w:t>
      </w:r>
      <w:r>
        <w:rPr>
          <w:sz w:val="16"/>
        </w:rPr>
        <w:t>of</w:t>
      </w:r>
      <w:r>
        <w:rPr>
          <w:spacing w:val="-10"/>
          <w:sz w:val="16"/>
        </w:rPr>
        <w:t xml:space="preserve"> </w:t>
      </w:r>
      <w:r>
        <w:rPr>
          <w:sz w:val="16"/>
        </w:rPr>
        <w:t>existing</w:t>
      </w:r>
      <w:r>
        <w:rPr>
          <w:spacing w:val="-9"/>
          <w:sz w:val="16"/>
        </w:rPr>
        <w:t xml:space="preserve"> </w:t>
      </w:r>
      <w:r>
        <w:rPr>
          <w:sz w:val="16"/>
        </w:rPr>
        <w:t>awards</w:t>
      </w:r>
      <w:r>
        <w:rPr>
          <w:spacing w:val="-12"/>
          <w:sz w:val="16"/>
        </w:rPr>
        <w:t xml:space="preserve"> </w:t>
      </w:r>
      <w:r>
        <w:rPr>
          <w:sz w:val="16"/>
        </w:rPr>
        <w:t>under</w:t>
      </w:r>
      <w:r>
        <w:rPr>
          <w:spacing w:val="-10"/>
          <w:sz w:val="16"/>
        </w:rPr>
        <w:t xml:space="preserve"> </w:t>
      </w:r>
      <w:r>
        <w:rPr>
          <w:sz w:val="16"/>
        </w:rPr>
        <w:t>the</w:t>
      </w:r>
      <w:r>
        <w:rPr>
          <w:spacing w:val="-10"/>
          <w:sz w:val="16"/>
        </w:rPr>
        <w:t xml:space="preserve"> </w:t>
      </w:r>
      <w:r>
        <w:rPr>
          <w:sz w:val="16"/>
        </w:rPr>
        <w:t>Company’s</w:t>
      </w:r>
      <w:r>
        <w:rPr>
          <w:spacing w:val="-9"/>
          <w:sz w:val="16"/>
        </w:rPr>
        <w:t xml:space="preserve"> </w:t>
      </w:r>
      <w:r>
        <w:rPr>
          <w:sz w:val="16"/>
        </w:rPr>
        <w:t>Bonus</w:t>
      </w:r>
      <w:r>
        <w:rPr>
          <w:spacing w:val="-10"/>
          <w:sz w:val="16"/>
        </w:rPr>
        <w:t xml:space="preserve"> </w:t>
      </w:r>
      <w:r>
        <w:rPr>
          <w:sz w:val="16"/>
        </w:rPr>
        <w:t>Share</w:t>
      </w:r>
      <w:r>
        <w:rPr>
          <w:spacing w:val="-10"/>
          <w:sz w:val="16"/>
        </w:rPr>
        <w:t xml:space="preserve"> </w:t>
      </w:r>
      <w:r>
        <w:rPr>
          <w:sz w:val="16"/>
        </w:rPr>
        <w:t>Plan</w:t>
      </w:r>
      <w:r>
        <w:rPr>
          <w:spacing w:val="-10"/>
          <w:sz w:val="16"/>
        </w:rPr>
        <w:t xml:space="preserve"> </w:t>
      </w:r>
      <w:r>
        <w:rPr>
          <w:sz w:val="16"/>
        </w:rPr>
        <w:t>and</w:t>
      </w:r>
      <w:r>
        <w:rPr>
          <w:spacing w:val="-12"/>
          <w:sz w:val="16"/>
        </w:rPr>
        <w:t xml:space="preserve"> </w:t>
      </w:r>
      <w:r>
        <w:rPr>
          <w:sz w:val="16"/>
        </w:rPr>
        <w:t>the</w:t>
      </w:r>
      <w:r>
        <w:rPr>
          <w:spacing w:val="-11"/>
          <w:sz w:val="16"/>
        </w:rPr>
        <w:t xml:space="preserve"> </w:t>
      </w:r>
      <w:r>
        <w:rPr>
          <w:sz w:val="16"/>
        </w:rPr>
        <w:t>previous</w:t>
      </w:r>
      <w:r>
        <w:rPr>
          <w:spacing w:val="-9"/>
          <w:sz w:val="16"/>
        </w:rPr>
        <w:t xml:space="preserve"> </w:t>
      </w:r>
      <w:proofErr w:type="gramStart"/>
      <w:r>
        <w:rPr>
          <w:sz w:val="16"/>
        </w:rPr>
        <w:t>Long</w:t>
      </w:r>
      <w:r>
        <w:rPr>
          <w:spacing w:val="-9"/>
          <w:sz w:val="16"/>
        </w:rPr>
        <w:t xml:space="preserve"> </w:t>
      </w:r>
      <w:r>
        <w:rPr>
          <w:sz w:val="16"/>
        </w:rPr>
        <w:t>Term</w:t>
      </w:r>
      <w:proofErr w:type="gramEnd"/>
      <w:r>
        <w:rPr>
          <w:spacing w:val="-10"/>
          <w:sz w:val="16"/>
        </w:rPr>
        <w:t xml:space="preserve"> </w:t>
      </w:r>
      <w:r>
        <w:rPr>
          <w:sz w:val="16"/>
        </w:rPr>
        <w:t>Incentive</w:t>
      </w:r>
      <w:r>
        <w:rPr>
          <w:spacing w:val="-11"/>
          <w:sz w:val="16"/>
        </w:rPr>
        <w:t xml:space="preserve"> </w:t>
      </w:r>
      <w:r>
        <w:rPr>
          <w:sz w:val="16"/>
        </w:rPr>
        <w:t>Plan</w:t>
      </w:r>
      <w:r>
        <w:rPr>
          <w:spacing w:val="-10"/>
          <w:sz w:val="16"/>
        </w:rPr>
        <w:t xml:space="preserve"> </w:t>
      </w:r>
      <w:r>
        <w:rPr>
          <w:sz w:val="16"/>
        </w:rPr>
        <w:t>(“</w:t>
      </w:r>
      <w:r>
        <w:rPr>
          <w:b/>
          <w:sz w:val="16"/>
        </w:rPr>
        <w:t>LTIP</w:t>
      </w:r>
      <w:r>
        <w:rPr>
          <w:sz w:val="16"/>
        </w:rPr>
        <w:t>”) and</w:t>
      </w:r>
      <w:r>
        <w:rPr>
          <w:spacing w:val="-8"/>
          <w:sz w:val="16"/>
        </w:rPr>
        <w:t xml:space="preserve"> </w:t>
      </w:r>
      <w:r>
        <w:rPr>
          <w:sz w:val="16"/>
        </w:rPr>
        <w:t>the</w:t>
      </w:r>
      <w:r>
        <w:rPr>
          <w:spacing w:val="-9"/>
          <w:sz w:val="16"/>
        </w:rPr>
        <w:t xml:space="preserve"> </w:t>
      </w:r>
      <w:r>
        <w:rPr>
          <w:sz w:val="16"/>
        </w:rPr>
        <w:t>Remuneration</w:t>
      </w:r>
      <w:r>
        <w:rPr>
          <w:spacing w:val="-9"/>
          <w:sz w:val="16"/>
        </w:rPr>
        <w:t xml:space="preserve"> </w:t>
      </w:r>
      <w:r>
        <w:rPr>
          <w:sz w:val="16"/>
        </w:rPr>
        <w:t>Committee</w:t>
      </w:r>
      <w:r>
        <w:rPr>
          <w:spacing w:val="-6"/>
          <w:sz w:val="16"/>
        </w:rPr>
        <w:t xml:space="preserve"> </w:t>
      </w:r>
      <w:r>
        <w:rPr>
          <w:sz w:val="16"/>
        </w:rPr>
        <w:t>may</w:t>
      </w:r>
      <w:r>
        <w:rPr>
          <w:spacing w:val="-9"/>
          <w:sz w:val="16"/>
        </w:rPr>
        <w:t xml:space="preserve"> </w:t>
      </w:r>
      <w:r>
        <w:rPr>
          <w:sz w:val="16"/>
        </w:rPr>
        <w:t>exercise</w:t>
      </w:r>
      <w:r>
        <w:rPr>
          <w:spacing w:val="-9"/>
          <w:sz w:val="16"/>
        </w:rPr>
        <w:t xml:space="preserve"> </w:t>
      </w:r>
      <w:r>
        <w:rPr>
          <w:sz w:val="16"/>
        </w:rPr>
        <w:t>any</w:t>
      </w:r>
      <w:r>
        <w:rPr>
          <w:spacing w:val="-7"/>
          <w:sz w:val="16"/>
        </w:rPr>
        <w:t xml:space="preserve"> </w:t>
      </w:r>
      <w:r>
        <w:rPr>
          <w:sz w:val="16"/>
        </w:rPr>
        <w:t>discretions</w:t>
      </w:r>
      <w:r>
        <w:rPr>
          <w:spacing w:val="-8"/>
          <w:sz w:val="16"/>
        </w:rPr>
        <w:t xml:space="preserve"> </w:t>
      </w:r>
      <w:r>
        <w:rPr>
          <w:sz w:val="16"/>
        </w:rPr>
        <w:t>available</w:t>
      </w:r>
      <w:r>
        <w:rPr>
          <w:spacing w:val="-9"/>
          <w:sz w:val="16"/>
        </w:rPr>
        <w:t xml:space="preserve"> </w:t>
      </w:r>
      <w:r>
        <w:rPr>
          <w:sz w:val="16"/>
        </w:rPr>
        <w:t>to</w:t>
      </w:r>
      <w:r>
        <w:rPr>
          <w:spacing w:val="-7"/>
          <w:sz w:val="16"/>
        </w:rPr>
        <w:t xml:space="preserve"> </w:t>
      </w:r>
      <w:r>
        <w:rPr>
          <w:sz w:val="16"/>
        </w:rPr>
        <w:t>it</w:t>
      </w:r>
      <w:r>
        <w:rPr>
          <w:spacing w:val="-9"/>
          <w:sz w:val="16"/>
        </w:rPr>
        <w:t xml:space="preserve"> </w:t>
      </w:r>
      <w:r>
        <w:rPr>
          <w:sz w:val="16"/>
        </w:rPr>
        <w:t>in</w:t>
      </w:r>
      <w:r>
        <w:rPr>
          <w:spacing w:val="-9"/>
          <w:sz w:val="16"/>
        </w:rPr>
        <w:t xml:space="preserve"> </w:t>
      </w:r>
      <w:r>
        <w:rPr>
          <w:sz w:val="16"/>
        </w:rPr>
        <w:t>connection</w:t>
      </w:r>
      <w:r>
        <w:rPr>
          <w:spacing w:val="-9"/>
          <w:sz w:val="16"/>
        </w:rPr>
        <w:t xml:space="preserve"> </w:t>
      </w:r>
      <w:r>
        <w:rPr>
          <w:sz w:val="16"/>
        </w:rPr>
        <w:t>with</w:t>
      </w:r>
      <w:r>
        <w:rPr>
          <w:spacing w:val="-7"/>
          <w:sz w:val="16"/>
        </w:rPr>
        <w:t xml:space="preserve"> </w:t>
      </w:r>
      <w:r>
        <w:rPr>
          <w:sz w:val="16"/>
        </w:rPr>
        <w:t>such</w:t>
      </w:r>
      <w:r>
        <w:rPr>
          <w:spacing w:val="-9"/>
          <w:sz w:val="16"/>
        </w:rPr>
        <w:t xml:space="preserve"> </w:t>
      </w:r>
      <w:r>
        <w:rPr>
          <w:sz w:val="16"/>
        </w:rPr>
        <w:t>awards</w:t>
      </w:r>
      <w:r>
        <w:rPr>
          <w:spacing w:val="-8"/>
          <w:sz w:val="16"/>
        </w:rPr>
        <w:t xml:space="preserve"> </w:t>
      </w:r>
      <w:r>
        <w:rPr>
          <w:sz w:val="16"/>
        </w:rPr>
        <w:t>in</w:t>
      </w:r>
      <w:r>
        <w:rPr>
          <w:spacing w:val="-9"/>
          <w:sz w:val="16"/>
        </w:rPr>
        <w:t xml:space="preserve"> </w:t>
      </w:r>
      <w:r>
        <w:rPr>
          <w:sz w:val="16"/>
        </w:rPr>
        <w:t>accordance</w:t>
      </w:r>
      <w:r>
        <w:rPr>
          <w:spacing w:val="-9"/>
          <w:sz w:val="16"/>
        </w:rPr>
        <w:t xml:space="preserve"> </w:t>
      </w:r>
      <w:r>
        <w:rPr>
          <w:sz w:val="16"/>
        </w:rPr>
        <w:t>with</w:t>
      </w:r>
      <w:r>
        <w:rPr>
          <w:spacing w:val="-9"/>
          <w:sz w:val="16"/>
        </w:rPr>
        <w:t xml:space="preserve"> </w:t>
      </w:r>
      <w:r>
        <w:rPr>
          <w:sz w:val="16"/>
        </w:rPr>
        <w:t>the</w:t>
      </w:r>
      <w:r>
        <w:rPr>
          <w:spacing w:val="-9"/>
          <w:sz w:val="16"/>
        </w:rPr>
        <w:t xml:space="preserve"> </w:t>
      </w:r>
      <w:r>
        <w:rPr>
          <w:sz w:val="16"/>
        </w:rPr>
        <w:t>shareholder- approved Directors’ remuneration policy in force at the time awards were</w:t>
      </w:r>
      <w:r>
        <w:rPr>
          <w:spacing w:val="-6"/>
          <w:sz w:val="16"/>
        </w:rPr>
        <w:t xml:space="preserve"> </w:t>
      </w:r>
      <w:r>
        <w:rPr>
          <w:sz w:val="16"/>
        </w:rPr>
        <w:t>made.</w:t>
      </w:r>
    </w:p>
    <w:p w:rsidR="001250E1" w:rsidRDefault="001250E1">
      <w:pPr>
        <w:pStyle w:val="BodyText"/>
        <w:spacing w:before="3"/>
        <w:rPr>
          <w:sz w:val="16"/>
        </w:rPr>
      </w:pPr>
    </w:p>
    <w:p w:rsidR="001250E1" w:rsidRDefault="00D56DAA">
      <w:pPr>
        <w:spacing w:before="1" w:line="244" w:lineRule="auto"/>
        <w:ind w:left="112" w:right="148"/>
        <w:jc w:val="both"/>
        <w:rPr>
          <w:sz w:val="16"/>
        </w:rPr>
      </w:pPr>
      <w:r>
        <w:rPr>
          <w:sz w:val="16"/>
        </w:rPr>
        <w:t>The</w:t>
      </w:r>
      <w:r>
        <w:rPr>
          <w:spacing w:val="-4"/>
          <w:sz w:val="16"/>
        </w:rPr>
        <w:t xml:space="preserve"> </w:t>
      </w:r>
      <w:r>
        <w:rPr>
          <w:sz w:val="16"/>
        </w:rPr>
        <w:t>Remuneration</w:t>
      </w:r>
      <w:r>
        <w:rPr>
          <w:spacing w:val="-4"/>
          <w:sz w:val="16"/>
        </w:rPr>
        <w:t xml:space="preserve"> </w:t>
      </w:r>
      <w:r>
        <w:rPr>
          <w:sz w:val="16"/>
        </w:rPr>
        <w:t>Committee</w:t>
      </w:r>
      <w:r>
        <w:rPr>
          <w:spacing w:val="-3"/>
          <w:sz w:val="16"/>
        </w:rPr>
        <w:t xml:space="preserve"> </w:t>
      </w:r>
      <w:r>
        <w:rPr>
          <w:sz w:val="16"/>
        </w:rPr>
        <w:t>may</w:t>
      </w:r>
      <w:r>
        <w:rPr>
          <w:spacing w:val="-4"/>
          <w:sz w:val="16"/>
        </w:rPr>
        <w:t xml:space="preserve"> </w:t>
      </w:r>
      <w:r>
        <w:rPr>
          <w:sz w:val="16"/>
        </w:rPr>
        <w:t>make</w:t>
      </w:r>
      <w:r>
        <w:rPr>
          <w:spacing w:val="-4"/>
          <w:sz w:val="16"/>
        </w:rPr>
        <w:t xml:space="preserve"> </w:t>
      </w:r>
      <w:r>
        <w:rPr>
          <w:sz w:val="16"/>
        </w:rPr>
        <w:t>minor</w:t>
      </w:r>
      <w:r>
        <w:rPr>
          <w:spacing w:val="-2"/>
          <w:sz w:val="16"/>
        </w:rPr>
        <w:t xml:space="preserve"> </w:t>
      </w:r>
      <w:r>
        <w:rPr>
          <w:sz w:val="16"/>
        </w:rPr>
        <w:t>amendments</w:t>
      </w:r>
      <w:r>
        <w:rPr>
          <w:spacing w:val="-3"/>
          <w:sz w:val="16"/>
        </w:rPr>
        <w:t xml:space="preserve"> </w:t>
      </w:r>
      <w:r>
        <w:rPr>
          <w:sz w:val="16"/>
        </w:rPr>
        <w:t>to</w:t>
      </w:r>
      <w:r>
        <w:rPr>
          <w:spacing w:val="-4"/>
          <w:sz w:val="16"/>
        </w:rPr>
        <w:t xml:space="preserve"> </w:t>
      </w:r>
      <w:r>
        <w:rPr>
          <w:sz w:val="16"/>
        </w:rPr>
        <w:t>the</w:t>
      </w:r>
      <w:r>
        <w:rPr>
          <w:spacing w:val="-5"/>
          <w:sz w:val="16"/>
        </w:rPr>
        <w:t xml:space="preserve"> </w:t>
      </w:r>
      <w:r>
        <w:rPr>
          <w:sz w:val="16"/>
        </w:rPr>
        <w:t>Remuneration</w:t>
      </w:r>
      <w:r>
        <w:rPr>
          <w:spacing w:val="-4"/>
          <w:sz w:val="16"/>
        </w:rPr>
        <w:t xml:space="preserve"> </w:t>
      </w:r>
      <w:r>
        <w:rPr>
          <w:sz w:val="16"/>
        </w:rPr>
        <w:t>Policy</w:t>
      </w:r>
      <w:r>
        <w:rPr>
          <w:spacing w:val="-4"/>
          <w:sz w:val="16"/>
        </w:rPr>
        <w:t xml:space="preserve"> </w:t>
      </w:r>
      <w:r>
        <w:rPr>
          <w:sz w:val="16"/>
        </w:rPr>
        <w:t>(for</w:t>
      </w:r>
      <w:r>
        <w:rPr>
          <w:spacing w:val="-2"/>
          <w:sz w:val="16"/>
        </w:rPr>
        <w:t xml:space="preserve"> </w:t>
      </w:r>
      <w:r>
        <w:rPr>
          <w:sz w:val="16"/>
        </w:rPr>
        <w:t>regulatory,</w:t>
      </w:r>
      <w:r>
        <w:rPr>
          <w:spacing w:val="-4"/>
          <w:sz w:val="16"/>
        </w:rPr>
        <w:t xml:space="preserve"> </w:t>
      </w:r>
      <w:r>
        <w:rPr>
          <w:sz w:val="16"/>
        </w:rPr>
        <w:t>exchange</w:t>
      </w:r>
      <w:r>
        <w:rPr>
          <w:spacing w:val="-4"/>
          <w:sz w:val="16"/>
        </w:rPr>
        <w:t xml:space="preserve"> </w:t>
      </w:r>
      <w:r>
        <w:rPr>
          <w:sz w:val="16"/>
        </w:rPr>
        <w:t>control,</w:t>
      </w:r>
      <w:r>
        <w:rPr>
          <w:spacing w:val="-3"/>
          <w:sz w:val="16"/>
        </w:rPr>
        <w:t xml:space="preserve"> </w:t>
      </w:r>
      <w:r>
        <w:rPr>
          <w:sz w:val="16"/>
        </w:rPr>
        <w:t>tax</w:t>
      </w:r>
      <w:r>
        <w:rPr>
          <w:spacing w:val="-3"/>
          <w:sz w:val="16"/>
        </w:rPr>
        <w:t xml:space="preserve"> </w:t>
      </w:r>
      <w:r>
        <w:rPr>
          <w:sz w:val="16"/>
        </w:rPr>
        <w:t>or</w:t>
      </w:r>
      <w:r>
        <w:rPr>
          <w:spacing w:val="-3"/>
          <w:sz w:val="16"/>
        </w:rPr>
        <w:t xml:space="preserve"> </w:t>
      </w:r>
      <w:r>
        <w:rPr>
          <w:sz w:val="16"/>
        </w:rPr>
        <w:t>administrative purposes or to take account of a change in legislation) without obtaining shareholder approval for that</w:t>
      </w:r>
      <w:r>
        <w:rPr>
          <w:spacing w:val="-14"/>
          <w:sz w:val="16"/>
        </w:rPr>
        <w:t xml:space="preserve"> </w:t>
      </w:r>
      <w:r>
        <w:rPr>
          <w:sz w:val="16"/>
        </w:rPr>
        <w:t>amendment.</w:t>
      </w:r>
    </w:p>
    <w:p w:rsidR="001250E1" w:rsidRDefault="001250E1">
      <w:pPr>
        <w:pStyle w:val="BodyText"/>
        <w:spacing w:before="6"/>
        <w:rPr>
          <w:sz w:val="19"/>
        </w:rPr>
      </w:pPr>
    </w:p>
    <w:p w:rsidR="001250E1" w:rsidRDefault="00D56DAA">
      <w:pPr>
        <w:pStyle w:val="Heading1"/>
        <w:numPr>
          <w:ilvl w:val="0"/>
          <w:numId w:val="4"/>
        </w:numPr>
        <w:tabs>
          <w:tab w:val="left" w:pos="541"/>
        </w:tabs>
        <w:jc w:val="both"/>
      </w:pPr>
      <w:bookmarkStart w:id="1" w:name="1._Malus_and_Clawback"/>
      <w:bookmarkEnd w:id="1"/>
      <w:r>
        <w:t>Malus and</w:t>
      </w:r>
      <w:r>
        <w:rPr>
          <w:spacing w:val="-2"/>
        </w:rPr>
        <w:t xml:space="preserve"> </w:t>
      </w:r>
      <w:r>
        <w:t>Clawback</w:t>
      </w:r>
    </w:p>
    <w:p w:rsidR="001250E1" w:rsidRDefault="00D56DAA">
      <w:pPr>
        <w:pStyle w:val="BodyText"/>
        <w:spacing w:before="61"/>
        <w:ind w:left="112" w:right="145"/>
        <w:jc w:val="both"/>
      </w:pPr>
      <w:r>
        <w:t>Malus and clawback provisions operate in respect of annual bonus and past LTIP awards. Subject to ordinary shareholder approval, for the 2020 annual bonus and any awards under the 2019 LTIP and 2019 TIP granted after the General Meeting, malus and clawback provisions may be applied during the performance period or within three years from payment/vesting in the event of:</w:t>
      </w:r>
    </w:p>
    <w:p w:rsidR="001250E1" w:rsidRDefault="00D56DAA">
      <w:pPr>
        <w:pStyle w:val="ListParagraph"/>
        <w:numPr>
          <w:ilvl w:val="0"/>
          <w:numId w:val="3"/>
        </w:numPr>
        <w:tabs>
          <w:tab w:val="left" w:pos="682"/>
        </w:tabs>
        <w:spacing w:before="119"/>
        <w:jc w:val="both"/>
        <w:rPr>
          <w:sz w:val="20"/>
        </w:rPr>
      </w:pPr>
      <w:r>
        <w:rPr>
          <w:sz w:val="20"/>
        </w:rPr>
        <w:t>a material misstatement of financial results for any</w:t>
      </w:r>
      <w:r>
        <w:rPr>
          <w:spacing w:val="-4"/>
          <w:sz w:val="20"/>
        </w:rPr>
        <w:t xml:space="preserve"> </w:t>
      </w:r>
      <w:r>
        <w:rPr>
          <w:sz w:val="20"/>
        </w:rPr>
        <w:t>period;</w:t>
      </w:r>
    </w:p>
    <w:p w:rsidR="001250E1" w:rsidRDefault="00D56DAA">
      <w:pPr>
        <w:pStyle w:val="ListParagraph"/>
        <w:numPr>
          <w:ilvl w:val="0"/>
          <w:numId w:val="3"/>
        </w:numPr>
        <w:tabs>
          <w:tab w:val="left" w:pos="682"/>
        </w:tabs>
        <w:spacing w:before="121"/>
        <w:ind w:left="681" w:hanging="566"/>
        <w:jc w:val="both"/>
        <w:rPr>
          <w:sz w:val="20"/>
        </w:rPr>
      </w:pPr>
      <w:r>
        <w:rPr>
          <w:sz w:val="20"/>
        </w:rPr>
        <w:t>an error or inaccurate or misleading information or</w:t>
      </w:r>
      <w:r>
        <w:rPr>
          <w:spacing w:val="-3"/>
          <w:sz w:val="20"/>
        </w:rPr>
        <w:t xml:space="preserve"> </w:t>
      </w:r>
      <w:r>
        <w:rPr>
          <w:sz w:val="20"/>
        </w:rPr>
        <w:t>assumptions;</w:t>
      </w:r>
    </w:p>
    <w:p w:rsidR="001250E1" w:rsidRDefault="00D56DAA">
      <w:pPr>
        <w:pStyle w:val="ListParagraph"/>
        <w:numPr>
          <w:ilvl w:val="0"/>
          <w:numId w:val="3"/>
        </w:numPr>
        <w:tabs>
          <w:tab w:val="left" w:pos="682"/>
        </w:tabs>
        <w:spacing w:before="119"/>
        <w:ind w:left="681" w:hanging="566"/>
        <w:jc w:val="both"/>
        <w:rPr>
          <w:sz w:val="20"/>
        </w:rPr>
      </w:pPr>
      <w:r>
        <w:rPr>
          <w:sz w:val="20"/>
        </w:rPr>
        <w:t>circumstances which would warrant or would have warranted summary</w:t>
      </w:r>
      <w:r>
        <w:rPr>
          <w:spacing w:val="-6"/>
          <w:sz w:val="20"/>
        </w:rPr>
        <w:t xml:space="preserve"> </w:t>
      </w:r>
      <w:r>
        <w:rPr>
          <w:sz w:val="20"/>
        </w:rPr>
        <w:t>dismissal;</w:t>
      </w:r>
    </w:p>
    <w:p w:rsidR="001250E1" w:rsidRDefault="00D56DAA">
      <w:pPr>
        <w:pStyle w:val="ListParagraph"/>
        <w:numPr>
          <w:ilvl w:val="0"/>
          <w:numId w:val="3"/>
        </w:numPr>
        <w:tabs>
          <w:tab w:val="left" w:pos="683"/>
        </w:tabs>
        <w:spacing w:before="121"/>
        <w:jc w:val="both"/>
        <w:rPr>
          <w:sz w:val="20"/>
        </w:rPr>
      </w:pPr>
      <w:r>
        <w:rPr>
          <w:sz w:val="20"/>
        </w:rPr>
        <w:t>a material failure of risk management by the Company or a relevant business</w:t>
      </w:r>
      <w:r>
        <w:rPr>
          <w:spacing w:val="-10"/>
          <w:sz w:val="20"/>
        </w:rPr>
        <w:t xml:space="preserve"> </w:t>
      </w:r>
      <w:r>
        <w:rPr>
          <w:sz w:val="20"/>
        </w:rPr>
        <w:t>unit;</w:t>
      </w:r>
    </w:p>
    <w:p w:rsidR="001250E1" w:rsidRDefault="00D56DAA">
      <w:pPr>
        <w:pStyle w:val="ListParagraph"/>
        <w:numPr>
          <w:ilvl w:val="0"/>
          <w:numId w:val="3"/>
        </w:numPr>
        <w:tabs>
          <w:tab w:val="left" w:pos="683"/>
        </w:tabs>
        <w:spacing w:before="120"/>
        <w:jc w:val="both"/>
        <w:rPr>
          <w:sz w:val="20"/>
        </w:rPr>
      </w:pPr>
      <w:r>
        <w:rPr>
          <w:sz w:val="20"/>
        </w:rPr>
        <w:t>the Company or a relevant business unit having suffered a material downturn in its financial performance;</w:t>
      </w:r>
      <w:r>
        <w:rPr>
          <w:spacing w:val="-37"/>
          <w:sz w:val="20"/>
        </w:rPr>
        <w:t xml:space="preserve"> </w:t>
      </w:r>
      <w:r>
        <w:rPr>
          <w:sz w:val="20"/>
        </w:rPr>
        <w:t>or</w:t>
      </w:r>
    </w:p>
    <w:p w:rsidR="001250E1" w:rsidRDefault="00D56DAA">
      <w:pPr>
        <w:pStyle w:val="ListParagraph"/>
        <w:numPr>
          <w:ilvl w:val="0"/>
          <w:numId w:val="3"/>
        </w:numPr>
        <w:tabs>
          <w:tab w:val="left" w:pos="682"/>
          <w:tab w:val="left" w:pos="683"/>
        </w:tabs>
        <w:spacing w:before="119"/>
        <w:ind w:right="148"/>
        <w:rPr>
          <w:sz w:val="20"/>
        </w:rPr>
      </w:pPr>
      <w:r>
        <w:rPr>
          <w:sz w:val="20"/>
        </w:rPr>
        <w:t>there are circumstances which, in the Remuneration Committee’s opinion, have or could have a sufficiently significant impact on the reputation of the Company or of any company in the</w:t>
      </w:r>
      <w:r>
        <w:rPr>
          <w:spacing w:val="-13"/>
          <w:sz w:val="20"/>
        </w:rPr>
        <w:t xml:space="preserve"> </w:t>
      </w:r>
      <w:r>
        <w:rPr>
          <w:sz w:val="20"/>
        </w:rPr>
        <w:t>Group.</w:t>
      </w:r>
    </w:p>
    <w:p w:rsidR="001250E1" w:rsidRDefault="001250E1">
      <w:pPr>
        <w:pStyle w:val="BodyText"/>
        <w:spacing w:before="10"/>
        <w:rPr>
          <w:sz w:val="19"/>
        </w:rPr>
      </w:pPr>
    </w:p>
    <w:p w:rsidR="001250E1" w:rsidRDefault="00D56DAA">
      <w:pPr>
        <w:pStyle w:val="Heading1"/>
        <w:numPr>
          <w:ilvl w:val="0"/>
          <w:numId w:val="4"/>
        </w:numPr>
        <w:tabs>
          <w:tab w:val="left" w:pos="541"/>
        </w:tabs>
        <w:ind w:hanging="427"/>
        <w:jc w:val="both"/>
      </w:pPr>
      <w:bookmarkStart w:id="2" w:name="2._Recruitment_Policy"/>
      <w:bookmarkEnd w:id="2"/>
      <w:r>
        <w:t>Recruitment</w:t>
      </w:r>
      <w:r>
        <w:rPr>
          <w:spacing w:val="-1"/>
        </w:rPr>
        <w:t xml:space="preserve"> </w:t>
      </w:r>
      <w:r>
        <w:t>Policy</w:t>
      </w:r>
    </w:p>
    <w:p w:rsidR="001250E1" w:rsidRDefault="00D56DAA">
      <w:pPr>
        <w:pStyle w:val="BodyText"/>
        <w:spacing w:before="61"/>
        <w:ind w:left="113" w:right="144"/>
        <w:jc w:val="both"/>
      </w:pPr>
      <w:r>
        <w:t>In determining appropriate remuneration arrangements upon hiring a new Executive Director, the Remuneration Committee will take into consideration all relevant factors including, but not limited to, the role, the remuneration being</w:t>
      </w:r>
      <w:r>
        <w:rPr>
          <w:spacing w:val="-11"/>
        </w:rPr>
        <w:t xml:space="preserve"> </w:t>
      </w:r>
      <w:r>
        <w:t>forfeited</w:t>
      </w:r>
      <w:r>
        <w:rPr>
          <w:spacing w:val="-10"/>
        </w:rPr>
        <w:t xml:space="preserve"> </w:t>
      </w:r>
      <w:r>
        <w:t>and</w:t>
      </w:r>
      <w:r>
        <w:rPr>
          <w:spacing w:val="-11"/>
        </w:rPr>
        <w:t xml:space="preserve"> </w:t>
      </w:r>
      <w:r>
        <w:t>the</w:t>
      </w:r>
      <w:r>
        <w:rPr>
          <w:spacing w:val="-9"/>
        </w:rPr>
        <w:t xml:space="preserve"> </w:t>
      </w:r>
      <w:r>
        <w:t>jurisdiction</w:t>
      </w:r>
      <w:r>
        <w:rPr>
          <w:spacing w:val="-11"/>
        </w:rPr>
        <w:t xml:space="preserve"> </w:t>
      </w:r>
      <w:r>
        <w:t>the</w:t>
      </w:r>
      <w:r>
        <w:rPr>
          <w:spacing w:val="-9"/>
        </w:rPr>
        <w:t xml:space="preserve"> </w:t>
      </w:r>
      <w:r>
        <w:t>candidate</w:t>
      </w:r>
      <w:r>
        <w:rPr>
          <w:spacing w:val="-9"/>
        </w:rPr>
        <w:t xml:space="preserve"> </w:t>
      </w:r>
      <w:r>
        <w:t>was</w:t>
      </w:r>
      <w:r>
        <w:rPr>
          <w:spacing w:val="-11"/>
        </w:rPr>
        <w:t xml:space="preserve"> </w:t>
      </w:r>
      <w:r>
        <w:t>recruited</w:t>
      </w:r>
      <w:r>
        <w:rPr>
          <w:spacing w:val="-10"/>
        </w:rPr>
        <w:t xml:space="preserve"> </w:t>
      </w:r>
      <w:r>
        <w:t>from.</w:t>
      </w:r>
      <w:r>
        <w:rPr>
          <w:spacing w:val="-9"/>
        </w:rPr>
        <w:t xml:space="preserve"> </w:t>
      </w:r>
      <w:r>
        <w:t>The</w:t>
      </w:r>
      <w:r>
        <w:rPr>
          <w:spacing w:val="-9"/>
        </w:rPr>
        <w:t xml:space="preserve"> </w:t>
      </w:r>
      <w:r>
        <w:t>Remuneration</w:t>
      </w:r>
      <w:r>
        <w:rPr>
          <w:spacing w:val="-12"/>
        </w:rPr>
        <w:t xml:space="preserve"> </w:t>
      </w:r>
      <w:r>
        <w:t>Committee</w:t>
      </w:r>
      <w:r>
        <w:rPr>
          <w:spacing w:val="-9"/>
        </w:rPr>
        <w:t xml:space="preserve"> </w:t>
      </w:r>
      <w:r>
        <w:t>is</w:t>
      </w:r>
      <w:r>
        <w:rPr>
          <w:spacing w:val="-10"/>
        </w:rPr>
        <w:t xml:space="preserve"> </w:t>
      </w:r>
      <w:r>
        <w:t>mindful</w:t>
      </w:r>
      <w:r>
        <w:rPr>
          <w:spacing w:val="-8"/>
        </w:rPr>
        <w:t xml:space="preserve"> </w:t>
      </w:r>
      <w:r>
        <w:t>of</w:t>
      </w:r>
      <w:r>
        <w:rPr>
          <w:spacing w:val="-11"/>
        </w:rPr>
        <w:t xml:space="preserve"> </w:t>
      </w:r>
      <w:r>
        <w:t xml:space="preserve">the need to avoid paying more than is necessary upon recruitment. Salary would be set to </w:t>
      </w:r>
      <w:proofErr w:type="gramStart"/>
      <w:r>
        <w:t>take into account</w:t>
      </w:r>
      <w:proofErr w:type="gramEnd"/>
      <w:r>
        <w:t xml:space="preserve"> role and responsibilities. For interim positions a cash supplement may be paid rather than salary (e.g. a Non-Executive Director taking on an Executive function on a </w:t>
      </w:r>
      <w:proofErr w:type="gramStart"/>
      <w:r>
        <w:t>short term</w:t>
      </w:r>
      <w:proofErr w:type="gramEnd"/>
      <w:r>
        <w:rPr>
          <w:spacing w:val="-6"/>
        </w:rPr>
        <w:t xml:space="preserve"> </w:t>
      </w:r>
      <w:r>
        <w:t>basis).</w:t>
      </w:r>
    </w:p>
    <w:p w:rsidR="001250E1" w:rsidRDefault="00D56DAA">
      <w:pPr>
        <w:pStyle w:val="BodyText"/>
        <w:spacing w:before="119"/>
        <w:ind w:left="113" w:right="146"/>
        <w:jc w:val="both"/>
      </w:pPr>
      <w:r>
        <w:t>The Remuneration Committee may make awards on hiring an external candidate to ‘buy out’ remuneration arrangements</w:t>
      </w:r>
      <w:r>
        <w:rPr>
          <w:spacing w:val="-18"/>
        </w:rPr>
        <w:t xml:space="preserve"> </w:t>
      </w:r>
      <w:r>
        <w:t>forfeited</w:t>
      </w:r>
      <w:r>
        <w:rPr>
          <w:spacing w:val="-14"/>
        </w:rPr>
        <w:t xml:space="preserve"> </w:t>
      </w:r>
      <w:r>
        <w:t>upon</w:t>
      </w:r>
      <w:r>
        <w:rPr>
          <w:spacing w:val="-18"/>
        </w:rPr>
        <w:t xml:space="preserve"> </w:t>
      </w:r>
      <w:r>
        <w:t>leaving</w:t>
      </w:r>
      <w:r>
        <w:rPr>
          <w:spacing w:val="-17"/>
        </w:rPr>
        <w:t xml:space="preserve"> </w:t>
      </w:r>
      <w:r>
        <w:t>a</w:t>
      </w:r>
      <w:r>
        <w:rPr>
          <w:spacing w:val="-17"/>
        </w:rPr>
        <w:t xml:space="preserve"> </w:t>
      </w:r>
      <w:r>
        <w:t>previous</w:t>
      </w:r>
      <w:r>
        <w:rPr>
          <w:spacing w:val="-17"/>
        </w:rPr>
        <w:t xml:space="preserve"> </w:t>
      </w:r>
      <w:r>
        <w:t>employer.</w:t>
      </w:r>
      <w:r>
        <w:rPr>
          <w:spacing w:val="-17"/>
        </w:rPr>
        <w:t xml:space="preserve"> </w:t>
      </w:r>
      <w:r>
        <w:t>In</w:t>
      </w:r>
      <w:r>
        <w:rPr>
          <w:spacing w:val="-16"/>
        </w:rPr>
        <w:t xml:space="preserve"> </w:t>
      </w:r>
      <w:r>
        <w:t>doing</w:t>
      </w:r>
      <w:r>
        <w:rPr>
          <w:spacing w:val="-17"/>
        </w:rPr>
        <w:t xml:space="preserve"> </w:t>
      </w:r>
      <w:r>
        <w:t>so</w:t>
      </w:r>
      <w:r>
        <w:rPr>
          <w:spacing w:val="-15"/>
        </w:rPr>
        <w:t xml:space="preserve"> </w:t>
      </w:r>
      <w:r>
        <w:t>the</w:t>
      </w:r>
      <w:r>
        <w:rPr>
          <w:spacing w:val="-14"/>
        </w:rPr>
        <w:t xml:space="preserve"> </w:t>
      </w:r>
      <w:r>
        <w:t>Remuneration</w:t>
      </w:r>
      <w:r>
        <w:rPr>
          <w:spacing w:val="-19"/>
        </w:rPr>
        <w:t xml:space="preserve"> </w:t>
      </w:r>
      <w:r>
        <w:t>Committee</w:t>
      </w:r>
      <w:r>
        <w:rPr>
          <w:spacing w:val="-16"/>
        </w:rPr>
        <w:t xml:space="preserve"> </w:t>
      </w:r>
      <w:r>
        <w:t>will</w:t>
      </w:r>
      <w:r>
        <w:rPr>
          <w:spacing w:val="-15"/>
        </w:rPr>
        <w:t xml:space="preserve"> </w:t>
      </w:r>
      <w:r>
        <w:t>take</w:t>
      </w:r>
      <w:r>
        <w:rPr>
          <w:spacing w:val="-17"/>
        </w:rPr>
        <w:t xml:space="preserve"> </w:t>
      </w:r>
      <w:r>
        <w:t>account of relevant factors including any performance conditions attached to these awards, the form in which they were granted</w:t>
      </w:r>
      <w:r>
        <w:rPr>
          <w:spacing w:val="-3"/>
        </w:rPr>
        <w:t xml:space="preserve"> </w:t>
      </w:r>
      <w:r>
        <w:t>(i.e.</w:t>
      </w:r>
      <w:r>
        <w:rPr>
          <w:spacing w:val="-3"/>
        </w:rPr>
        <w:t xml:space="preserve"> </w:t>
      </w:r>
      <w:r>
        <w:t>cash</w:t>
      </w:r>
      <w:r>
        <w:rPr>
          <w:spacing w:val="-4"/>
        </w:rPr>
        <w:t xml:space="preserve"> </w:t>
      </w:r>
      <w:r>
        <w:t>or</w:t>
      </w:r>
      <w:r>
        <w:rPr>
          <w:spacing w:val="-2"/>
        </w:rPr>
        <w:t xml:space="preserve"> </w:t>
      </w:r>
      <w:r>
        <w:t>ordinary</w:t>
      </w:r>
      <w:r>
        <w:rPr>
          <w:spacing w:val="-4"/>
        </w:rPr>
        <w:t xml:space="preserve"> </w:t>
      </w:r>
      <w:r>
        <w:t>shares)</w:t>
      </w:r>
      <w:r>
        <w:rPr>
          <w:spacing w:val="-2"/>
        </w:rPr>
        <w:t xml:space="preserve"> </w:t>
      </w:r>
      <w:r>
        <w:t>and</w:t>
      </w:r>
      <w:r>
        <w:rPr>
          <w:spacing w:val="-3"/>
        </w:rPr>
        <w:t xml:space="preserve"> </w:t>
      </w:r>
      <w:r>
        <w:t>the</w:t>
      </w:r>
      <w:r>
        <w:rPr>
          <w:spacing w:val="-2"/>
        </w:rPr>
        <w:t xml:space="preserve"> </w:t>
      </w:r>
      <w:r>
        <w:t>time</w:t>
      </w:r>
      <w:r>
        <w:rPr>
          <w:spacing w:val="-3"/>
        </w:rPr>
        <w:t xml:space="preserve"> </w:t>
      </w:r>
      <w:r>
        <w:t>over</w:t>
      </w:r>
      <w:r>
        <w:rPr>
          <w:spacing w:val="-2"/>
        </w:rPr>
        <w:t xml:space="preserve"> </w:t>
      </w:r>
      <w:r>
        <w:t>which</w:t>
      </w:r>
      <w:r>
        <w:rPr>
          <w:spacing w:val="-4"/>
        </w:rPr>
        <w:t xml:space="preserve"> </w:t>
      </w:r>
      <w:r>
        <w:t>they</w:t>
      </w:r>
      <w:r>
        <w:rPr>
          <w:spacing w:val="-3"/>
        </w:rPr>
        <w:t xml:space="preserve"> </w:t>
      </w:r>
      <w:r>
        <w:t>would</w:t>
      </w:r>
      <w:r>
        <w:rPr>
          <w:spacing w:val="-3"/>
        </w:rPr>
        <w:t xml:space="preserve"> </w:t>
      </w:r>
      <w:r>
        <w:t>have</w:t>
      </w:r>
      <w:r>
        <w:rPr>
          <w:spacing w:val="-2"/>
        </w:rPr>
        <w:t xml:space="preserve"> </w:t>
      </w:r>
      <w:r>
        <w:t>vested.</w:t>
      </w:r>
      <w:r>
        <w:rPr>
          <w:spacing w:val="-3"/>
        </w:rPr>
        <w:t xml:space="preserve"> </w:t>
      </w:r>
      <w:r>
        <w:t>The</w:t>
      </w:r>
      <w:r>
        <w:rPr>
          <w:spacing w:val="-3"/>
        </w:rPr>
        <w:t xml:space="preserve"> </w:t>
      </w:r>
      <w:r>
        <w:t>key</w:t>
      </w:r>
      <w:r>
        <w:rPr>
          <w:spacing w:val="-3"/>
        </w:rPr>
        <w:t xml:space="preserve"> </w:t>
      </w:r>
      <w:r>
        <w:t>principle</w:t>
      </w:r>
      <w:r>
        <w:rPr>
          <w:spacing w:val="-3"/>
        </w:rPr>
        <w:t xml:space="preserve"> </w:t>
      </w:r>
      <w:r>
        <w:t>should</w:t>
      </w:r>
      <w:r>
        <w:rPr>
          <w:spacing w:val="-2"/>
        </w:rPr>
        <w:t xml:space="preserve"> </w:t>
      </w:r>
      <w:r>
        <w:t>be that buyout awards should not be more valuable than those</w:t>
      </w:r>
      <w:r>
        <w:rPr>
          <w:spacing w:val="-2"/>
        </w:rPr>
        <w:t xml:space="preserve"> </w:t>
      </w:r>
      <w:r>
        <w:t>forfeited.</w:t>
      </w:r>
    </w:p>
    <w:p w:rsidR="001250E1" w:rsidRDefault="00D56DAA">
      <w:pPr>
        <w:pStyle w:val="BodyText"/>
        <w:spacing w:before="120"/>
        <w:ind w:left="112" w:right="145"/>
        <w:jc w:val="both"/>
      </w:pPr>
      <w:r>
        <w:t>Normally the maximum variable remuneration (excluding buyouts) would be in line with the 2019 Remuneration Policy table above. The Remuneration Committee retains the flexibility to determine that for the first year of appointment any annual bonus award will be subject to such conditions as it may determine. Against that background, where the potential exists that a new Executive Director could have different roles and responsibilities to those currently appointed, such responsibilities may require to be reflected in that Executive Director’s remuneration</w:t>
      </w:r>
      <w:r>
        <w:rPr>
          <w:spacing w:val="-8"/>
        </w:rPr>
        <w:t xml:space="preserve"> </w:t>
      </w:r>
      <w:r>
        <w:t>arrangements.</w:t>
      </w:r>
      <w:r>
        <w:rPr>
          <w:spacing w:val="-6"/>
        </w:rPr>
        <w:t xml:space="preserve"> </w:t>
      </w:r>
      <w:r>
        <w:t>Taking</w:t>
      </w:r>
      <w:r>
        <w:rPr>
          <w:spacing w:val="-6"/>
        </w:rPr>
        <w:t xml:space="preserve"> </w:t>
      </w:r>
      <w:r>
        <w:t>this</w:t>
      </w:r>
      <w:r>
        <w:rPr>
          <w:spacing w:val="-6"/>
        </w:rPr>
        <w:t xml:space="preserve"> </w:t>
      </w:r>
      <w:r>
        <w:t>into</w:t>
      </w:r>
      <w:r>
        <w:rPr>
          <w:spacing w:val="-6"/>
        </w:rPr>
        <w:t xml:space="preserve"> </w:t>
      </w:r>
      <w:r>
        <w:t>account</w:t>
      </w:r>
      <w:r>
        <w:rPr>
          <w:spacing w:val="-5"/>
        </w:rPr>
        <w:t xml:space="preserve"> </w:t>
      </w:r>
      <w:r>
        <w:t>the</w:t>
      </w:r>
      <w:r>
        <w:rPr>
          <w:spacing w:val="-5"/>
        </w:rPr>
        <w:t xml:space="preserve"> </w:t>
      </w:r>
      <w:r>
        <w:t>Remuneration</w:t>
      </w:r>
      <w:r>
        <w:rPr>
          <w:spacing w:val="-7"/>
        </w:rPr>
        <w:t xml:space="preserve"> </w:t>
      </w:r>
      <w:r>
        <w:t>Committee</w:t>
      </w:r>
      <w:r>
        <w:rPr>
          <w:spacing w:val="-5"/>
        </w:rPr>
        <w:t xml:space="preserve"> </w:t>
      </w:r>
      <w:r>
        <w:t>may,</w:t>
      </w:r>
      <w:r>
        <w:rPr>
          <w:spacing w:val="-7"/>
        </w:rPr>
        <w:t xml:space="preserve"> </w:t>
      </w:r>
      <w:r>
        <w:t>for</w:t>
      </w:r>
      <w:r>
        <w:rPr>
          <w:spacing w:val="-6"/>
        </w:rPr>
        <w:t xml:space="preserve"> </w:t>
      </w:r>
      <w:r>
        <w:t>the</w:t>
      </w:r>
      <w:r>
        <w:rPr>
          <w:spacing w:val="-5"/>
        </w:rPr>
        <w:t xml:space="preserve"> </w:t>
      </w:r>
      <w:r>
        <w:t>first</w:t>
      </w:r>
      <w:r>
        <w:rPr>
          <w:spacing w:val="-5"/>
        </w:rPr>
        <w:t xml:space="preserve"> </w:t>
      </w:r>
      <w:r>
        <w:t>year,</w:t>
      </w:r>
      <w:r>
        <w:rPr>
          <w:spacing w:val="-6"/>
        </w:rPr>
        <w:t xml:space="preserve"> </w:t>
      </w:r>
      <w:r>
        <w:t>make</w:t>
      </w:r>
      <w:r>
        <w:rPr>
          <w:spacing w:val="-5"/>
        </w:rPr>
        <w:t xml:space="preserve"> </w:t>
      </w:r>
      <w:r>
        <w:t>an additional performance-related incentive award of up to 50 per cent. of salary. The form of any award would be determined at the relevant</w:t>
      </w:r>
      <w:r>
        <w:rPr>
          <w:spacing w:val="1"/>
        </w:rPr>
        <w:t xml:space="preserve"> </w:t>
      </w:r>
      <w:r>
        <w:t>time.</w:t>
      </w:r>
    </w:p>
    <w:p w:rsidR="001250E1" w:rsidRDefault="00D56DAA">
      <w:pPr>
        <w:pStyle w:val="BodyText"/>
        <w:spacing w:before="121"/>
        <w:ind w:left="112" w:right="146"/>
        <w:jc w:val="both"/>
      </w:pPr>
      <w:r>
        <w:t>Where</w:t>
      </w:r>
      <w:r>
        <w:rPr>
          <w:spacing w:val="-12"/>
        </w:rPr>
        <w:t xml:space="preserve"> </w:t>
      </w:r>
      <w:r>
        <w:t>an</w:t>
      </w:r>
      <w:r>
        <w:rPr>
          <w:spacing w:val="-13"/>
        </w:rPr>
        <w:t xml:space="preserve"> </w:t>
      </w:r>
      <w:r>
        <w:t>Executive</w:t>
      </w:r>
      <w:r>
        <w:rPr>
          <w:spacing w:val="-12"/>
        </w:rPr>
        <w:t xml:space="preserve"> </w:t>
      </w:r>
      <w:r>
        <w:t>Director</w:t>
      </w:r>
      <w:r>
        <w:rPr>
          <w:spacing w:val="-12"/>
        </w:rPr>
        <w:t xml:space="preserve"> </w:t>
      </w:r>
      <w:r>
        <w:t>is</w:t>
      </w:r>
      <w:r>
        <w:rPr>
          <w:spacing w:val="-13"/>
        </w:rPr>
        <w:t xml:space="preserve"> </w:t>
      </w:r>
      <w:r>
        <w:t>appointed</w:t>
      </w:r>
      <w:r>
        <w:rPr>
          <w:spacing w:val="-12"/>
        </w:rPr>
        <w:t xml:space="preserve"> </w:t>
      </w:r>
      <w:r>
        <w:t>from</w:t>
      </w:r>
      <w:r>
        <w:rPr>
          <w:spacing w:val="-12"/>
        </w:rPr>
        <w:t xml:space="preserve"> </w:t>
      </w:r>
      <w:r>
        <w:t>within</w:t>
      </w:r>
      <w:r>
        <w:rPr>
          <w:spacing w:val="-14"/>
        </w:rPr>
        <w:t xml:space="preserve"> </w:t>
      </w:r>
      <w:r>
        <w:t>the</w:t>
      </w:r>
      <w:r>
        <w:rPr>
          <w:spacing w:val="-11"/>
        </w:rPr>
        <w:t xml:space="preserve"> </w:t>
      </w:r>
      <w:r>
        <w:t>Group,</w:t>
      </w:r>
      <w:r>
        <w:rPr>
          <w:spacing w:val="-13"/>
        </w:rPr>
        <w:t xml:space="preserve"> </w:t>
      </w:r>
      <w:r>
        <w:t>the</w:t>
      </w:r>
      <w:r>
        <w:rPr>
          <w:spacing w:val="-12"/>
        </w:rPr>
        <w:t xml:space="preserve"> </w:t>
      </w:r>
      <w:r>
        <w:t>normal</w:t>
      </w:r>
      <w:r>
        <w:rPr>
          <w:spacing w:val="-12"/>
        </w:rPr>
        <w:t xml:space="preserve"> </w:t>
      </w:r>
      <w:r>
        <w:t>policy</w:t>
      </w:r>
      <w:r>
        <w:rPr>
          <w:spacing w:val="-12"/>
        </w:rPr>
        <w:t xml:space="preserve"> </w:t>
      </w:r>
      <w:r>
        <w:t>of</w:t>
      </w:r>
      <w:r>
        <w:rPr>
          <w:spacing w:val="-13"/>
        </w:rPr>
        <w:t xml:space="preserve"> </w:t>
      </w:r>
      <w:r>
        <w:t>the</w:t>
      </w:r>
      <w:r>
        <w:rPr>
          <w:spacing w:val="-11"/>
        </w:rPr>
        <w:t xml:space="preserve"> </w:t>
      </w:r>
      <w:r>
        <w:t>Company</w:t>
      </w:r>
      <w:r>
        <w:rPr>
          <w:spacing w:val="-14"/>
        </w:rPr>
        <w:t xml:space="preserve"> </w:t>
      </w:r>
      <w:r>
        <w:t>is</w:t>
      </w:r>
      <w:r>
        <w:rPr>
          <w:spacing w:val="-12"/>
        </w:rPr>
        <w:t xml:space="preserve"> </w:t>
      </w:r>
      <w:r>
        <w:t>that</w:t>
      </w:r>
      <w:r>
        <w:rPr>
          <w:spacing w:val="-13"/>
        </w:rPr>
        <w:t xml:space="preserve"> </w:t>
      </w:r>
      <w:r>
        <w:t>any</w:t>
      </w:r>
      <w:r>
        <w:rPr>
          <w:spacing w:val="-11"/>
        </w:rPr>
        <w:t xml:space="preserve"> </w:t>
      </w:r>
      <w:r>
        <w:t>legacy arrangements should be honoured in line with the original terms and conditions. Similarly, if an Executive Director is</w:t>
      </w:r>
      <w:r>
        <w:rPr>
          <w:spacing w:val="-5"/>
        </w:rPr>
        <w:t xml:space="preserve"> </w:t>
      </w:r>
      <w:r>
        <w:t>appointed</w:t>
      </w:r>
      <w:r>
        <w:rPr>
          <w:spacing w:val="-3"/>
        </w:rPr>
        <w:t xml:space="preserve"> </w:t>
      </w:r>
      <w:r>
        <w:t>following</w:t>
      </w:r>
      <w:r>
        <w:rPr>
          <w:spacing w:val="-3"/>
        </w:rPr>
        <w:t xml:space="preserve"> </w:t>
      </w:r>
      <w:r>
        <w:t>the</w:t>
      </w:r>
      <w:r>
        <w:rPr>
          <w:spacing w:val="-3"/>
        </w:rPr>
        <w:t xml:space="preserve"> </w:t>
      </w:r>
      <w:r>
        <w:t>Company’s</w:t>
      </w:r>
      <w:r>
        <w:rPr>
          <w:spacing w:val="-4"/>
        </w:rPr>
        <w:t xml:space="preserve"> </w:t>
      </w:r>
      <w:r>
        <w:t>acquisition</w:t>
      </w:r>
      <w:r>
        <w:rPr>
          <w:spacing w:val="-4"/>
        </w:rPr>
        <w:t xml:space="preserve"> </w:t>
      </w:r>
      <w:r>
        <w:t>of,</w:t>
      </w:r>
      <w:r>
        <w:rPr>
          <w:spacing w:val="-4"/>
        </w:rPr>
        <w:t xml:space="preserve"> </w:t>
      </w:r>
      <w:r>
        <w:t>or</w:t>
      </w:r>
      <w:r>
        <w:rPr>
          <w:spacing w:val="-3"/>
        </w:rPr>
        <w:t xml:space="preserve"> </w:t>
      </w:r>
      <w:r>
        <w:t>merger</w:t>
      </w:r>
      <w:r>
        <w:rPr>
          <w:spacing w:val="-3"/>
        </w:rPr>
        <w:t xml:space="preserve"> </w:t>
      </w:r>
      <w:r>
        <w:t>with,</w:t>
      </w:r>
      <w:r>
        <w:rPr>
          <w:spacing w:val="-4"/>
        </w:rPr>
        <w:t xml:space="preserve"> </w:t>
      </w:r>
      <w:r>
        <w:t>another</w:t>
      </w:r>
      <w:r>
        <w:rPr>
          <w:spacing w:val="-3"/>
        </w:rPr>
        <w:t xml:space="preserve"> </w:t>
      </w:r>
      <w:r>
        <w:t>company,</w:t>
      </w:r>
      <w:r>
        <w:rPr>
          <w:spacing w:val="-4"/>
        </w:rPr>
        <w:t xml:space="preserve"> </w:t>
      </w:r>
      <w:r>
        <w:t>legacy</w:t>
      </w:r>
      <w:r>
        <w:rPr>
          <w:spacing w:val="-4"/>
        </w:rPr>
        <w:t xml:space="preserve"> </w:t>
      </w:r>
      <w:r>
        <w:t>terms</w:t>
      </w:r>
      <w:r>
        <w:rPr>
          <w:spacing w:val="-4"/>
        </w:rPr>
        <w:t xml:space="preserve"> </w:t>
      </w:r>
      <w:r>
        <w:t>and</w:t>
      </w:r>
      <w:r>
        <w:rPr>
          <w:spacing w:val="-4"/>
        </w:rPr>
        <w:t xml:space="preserve"> </w:t>
      </w:r>
      <w:r>
        <w:t>conditions should be</w:t>
      </w:r>
      <w:r>
        <w:rPr>
          <w:spacing w:val="1"/>
        </w:rPr>
        <w:t xml:space="preserve"> </w:t>
      </w:r>
      <w:r>
        <w:t>honoured.</w:t>
      </w:r>
    </w:p>
    <w:p w:rsidR="001250E1" w:rsidRDefault="00D56DAA">
      <w:pPr>
        <w:pStyle w:val="BodyText"/>
        <w:spacing w:before="120"/>
        <w:ind w:left="112" w:right="143"/>
        <w:jc w:val="both"/>
      </w:pPr>
      <w:r>
        <w:t>In the event of the appointment of a new Non-Executive Director, remuneration arrangements will be in line with those detailed in the Remuneration Policy table above.</w:t>
      </w:r>
    </w:p>
    <w:p w:rsidR="001250E1" w:rsidRDefault="001250E1">
      <w:pPr>
        <w:jc w:val="both"/>
        <w:sectPr w:rsidR="001250E1">
          <w:pgSz w:w="11910" w:h="16840"/>
          <w:pgMar w:top="780" w:right="560" w:bottom="280" w:left="900" w:header="720" w:footer="720" w:gutter="0"/>
          <w:cols w:space="720"/>
        </w:sectPr>
      </w:pPr>
    </w:p>
    <w:p w:rsidR="001250E1" w:rsidRDefault="00D56DAA">
      <w:pPr>
        <w:pStyle w:val="Heading1"/>
        <w:numPr>
          <w:ilvl w:val="0"/>
          <w:numId w:val="4"/>
        </w:numPr>
        <w:tabs>
          <w:tab w:val="left" w:pos="539"/>
          <w:tab w:val="left" w:pos="541"/>
        </w:tabs>
        <w:spacing w:before="72"/>
      </w:pPr>
      <w:bookmarkStart w:id="3" w:name="3._Service_Contracts_and_Letters_of_Appo"/>
      <w:bookmarkEnd w:id="3"/>
      <w:r>
        <w:lastRenderedPageBreak/>
        <w:t>Service Contracts and Letters of</w:t>
      </w:r>
      <w:r>
        <w:rPr>
          <w:spacing w:val="1"/>
        </w:rPr>
        <w:t xml:space="preserve"> </w:t>
      </w:r>
      <w:r>
        <w:t>Appointment</w:t>
      </w:r>
    </w:p>
    <w:p w:rsidR="001250E1" w:rsidRDefault="00D56DAA">
      <w:pPr>
        <w:pStyle w:val="BodyText"/>
        <w:spacing w:before="58"/>
        <w:ind w:left="112" w:right="147"/>
        <w:jc w:val="both"/>
      </w:pPr>
      <w:r>
        <w:t>The Executive Chairman, Chief Executive Officer and Corporate Affairs Director &amp; Group Company Secretary have service contracts with the Company as detailed below. The Company’s practice is that the service contracts of Executive Directors should contain a 12 month notice period for both the Executive Director and the Company, except in relation to the Executive Chairman whose notice period is three months.</w:t>
      </w:r>
    </w:p>
    <w:p w:rsidR="001250E1" w:rsidRDefault="001250E1">
      <w:pPr>
        <w:pStyle w:val="BodyText"/>
      </w:pPr>
    </w:p>
    <w:p w:rsidR="001250E1" w:rsidRDefault="001250E1">
      <w:pPr>
        <w:pStyle w:val="BodyText"/>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3410"/>
        <w:gridCol w:w="3542"/>
      </w:tblGrid>
      <w:tr w:rsidR="001250E1">
        <w:trPr>
          <w:trHeight w:val="362"/>
        </w:trPr>
        <w:tc>
          <w:tcPr>
            <w:tcW w:w="3247" w:type="dxa"/>
          </w:tcPr>
          <w:p w:rsidR="001250E1" w:rsidRDefault="00D56DAA">
            <w:pPr>
              <w:pStyle w:val="TableParagraph"/>
              <w:spacing w:before="1"/>
              <w:rPr>
                <w:b/>
                <w:sz w:val="20"/>
              </w:rPr>
            </w:pPr>
            <w:r>
              <w:rPr>
                <w:b/>
                <w:sz w:val="20"/>
              </w:rPr>
              <w:t>Executive Director</w:t>
            </w:r>
          </w:p>
        </w:tc>
        <w:tc>
          <w:tcPr>
            <w:tcW w:w="3410" w:type="dxa"/>
          </w:tcPr>
          <w:p w:rsidR="001250E1" w:rsidRDefault="00D56DAA">
            <w:pPr>
              <w:pStyle w:val="TableParagraph"/>
              <w:spacing w:before="1"/>
              <w:rPr>
                <w:b/>
                <w:sz w:val="20"/>
              </w:rPr>
            </w:pPr>
            <w:r>
              <w:rPr>
                <w:b/>
                <w:sz w:val="20"/>
              </w:rPr>
              <w:t>Date of Service Contract</w:t>
            </w:r>
          </w:p>
        </w:tc>
        <w:tc>
          <w:tcPr>
            <w:tcW w:w="3542" w:type="dxa"/>
          </w:tcPr>
          <w:p w:rsidR="001250E1" w:rsidRDefault="00D56DAA">
            <w:pPr>
              <w:pStyle w:val="TableParagraph"/>
              <w:spacing w:before="1"/>
              <w:ind w:left="108"/>
              <w:rPr>
                <w:b/>
                <w:sz w:val="20"/>
              </w:rPr>
            </w:pPr>
            <w:r>
              <w:rPr>
                <w:b/>
                <w:sz w:val="20"/>
              </w:rPr>
              <w:t>Notice Period</w:t>
            </w:r>
          </w:p>
        </w:tc>
      </w:tr>
      <w:tr w:rsidR="001250E1">
        <w:trPr>
          <w:trHeight w:val="359"/>
        </w:trPr>
        <w:tc>
          <w:tcPr>
            <w:tcW w:w="3247" w:type="dxa"/>
          </w:tcPr>
          <w:p w:rsidR="001250E1" w:rsidRDefault="00D56DAA">
            <w:pPr>
              <w:pStyle w:val="TableParagraph"/>
              <w:spacing w:before="1"/>
              <w:rPr>
                <w:sz w:val="20"/>
              </w:rPr>
            </w:pPr>
            <w:r>
              <w:rPr>
                <w:sz w:val="20"/>
              </w:rPr>
              <w:t>Philipp Joeinig</w:t>
            </w:r>
          </w:p>
        </w:tc>
        <w:tc>
          <w:tcPr>
            <w:tcW w:w="3410" w:type="dxa"/>
          </w:tcPr>
          <w:p w:rsidR="001250E1" w:rsidRDefault="00D56DAA">
            <w:pPr>
              <w:pStyle w:val="TableParagraph"/>
              <w:spacing w:before="1"/>
              <w:rPr>
                <w:sz w:val="20"/>
              </w:rPr>
            </w:pPr>
            <w:r>
              <w:rPr>
                <w:sz w:val="20"/>
              </w:rPr>
              <w:t>16 August 2019</w:t>
            </w:r>
          </w:p>
        </w:tc>
        <w:tc>
          <w:tcPr>
            <w:tcW w:w="3542" w:type="dxa"/>
          </w:tcPr>
          <w:p w:rsidR="001250E1" w:rsidRDefault="00D56DAA">
            <w:pPr>
              <w:pStyle w:val="TableParagraph"/>
              <w:spacing w:before="1"/>
              <w:ind w:left="108"/>
              <w:rPr>
                <w:sz w:val="20"/>
              </w:rPr>
            </w:pPr>
            <w:r>
              <w:rPr>
                <w:sz w:val="20"/>
              </w:rPr>
              <w:t>3 months</w:t>
            </w:r>
          </w:p>
        </w:tc>
      </w:tr>
      <w:tr w:rsidR="001250E1">
        <w:trPr>
          <w:trHeight w:val="362"/>
        </w:trPr>
        <w:tc>
          <w:tcPr>
            <w:tcW w:w="3247" w:type="dxa"/>
          </w:tcPr>
          <w:p w:rsidR="001250E1" w:rsidRDefault="00D56DAA">
            <w:pPr>
              <w:pStyle w:val="TableParagraph"/>
              <w:spacing w:before="1"/>
              <w:rPr>
                <w:sz w:val="20"/>
              </w:rPr>
            </w:pPr>
            <w:r>
              <w:rPr>
                <w:sz w:val="20"/>
              </w:rPr>
              <w:t>Giles Wilson</w:t>
            </w:r>
          </w:p>
        </w:tc>
        <w:tc>
          <w:tcPr>
            <w:tcW w:w="3410" w:type="dxa"/>
          </w:tcPr>
          <w:p w:rsidR="001250E1" w:rsidRDefault="00D56DAA">
            <w:pPr>
              <w:pStyle w:val="TableParagraph"/>
              <w:spacing w:before="1"/>
              <w:rPr>
                <w:sz w:val="20"/>
              </w:rPr>
            </w:pPr>
            <w:r>
              <w:rPr>
                <w:sz w:val="20"/>
              </w:rPr>
              <w:t>2 June 2017</w:t>
            </w:r>
          </w:p>
        </w:tc>
        <w:tc>
          <w:tcPr>
            <w:tcW w:w="3542" w:type="dxa"/>
          </w:tcPr>
          <w:p w:rsidR="001250E1" w:rsidRDefault="00D56DAA">
            <w:pPr>
              <w:pStyle w:val="TableParagraph"/>
              <w:spacing w:before="1"/>
              <w:ind w:left="108"/>
              <w:rPr>
                <w:sz w:val="20"/>
              </w:rPr>
            </w:pPr>
            <w:r>
              <w:rPr>
                <w:sz w:val="20"/>
              </w:rPr>
              <w:t>12 months</w:t>
            </w:r>
          </w:p>
        </w:tc>
      </w:tr>
      <w:tr w:rsidR="001250E1">
        <w:trPr>
          <w:trHeight w:val="361"/>
        </w:trPr>
        <w:tc>
          <w:tcPr>
            <w:tcW w:w="3247" w:type="dxa"/>
          </w:tcPr>
          <w:p w:rsidR="001250E1" w:rsidRDefault="00D56DAA">
            <w:pPr>
              <w:pStyle w:val="TableParagraph"/>
              <w:spacing w:before="1"/>
              <w:rPr>
                <w:sz w:val="20"/>
              </w:rPr>
            </w:pPr>
            <w:r>
              <w:rPr>
                <w:sz w:val="20"/>
              </w:rPr>
              <w:t>John Geddes</w:t>
            </w:r>
          </w:p>
        </w:tc>
        <w:tc>
          <w:tcPr>
            <w:tcW w:w="3410" w:type="dxa"/>
          </w:tcPr>
          <w:p w:rsidR="001250E1" w:rsidRDefault="00D56DAA">
            <w:pPr>
              <w:pStyle w:val="TableParagraph"/>
              <w:spacing w:before="1"/>
              <w:rPr>
                <w:sz w:val="20"/>
              </w:rPr>
            </w:pPr>
            <w:r>
              <w:rPr>
                <w:sz w:val="20"/>
              </w:rPr>
              <w:t>2 June 2017</w:t>
            </w:r>
          </w:p>
        </w:tc>
        <w:tc>
          <w:tcPr>
            <w:tcW w:w="3542" w:type="dxa"/>
          </w:tcPr>
          <w:p w:rsidR="001250E1" w:rsidRDefault="00D56DAA">
            <w:pPr>
              <w:pStyle w:val="TableParagraph"/>
              <w:spacing w:before="1"/>
              <w:ind w:left="108"/>
              <w:rPr>
                <w:sz w:val="20"/>
              </w:rPr>
            </w:pPr>
            <w:r>
              <w:rPr>
                <w:sz w:val="20"/>
              </w:rPr>
              <w:t>12 months</w:t>
            </w:r>
          </w:p>
        </w:tc>
      </w:tr>
    </w:tbl>
    <w:p w:rsidR="001250E1" w:rsidRDefault="001250E1">
      <w:pPr>
        <w:pStyle w:val="BodyText"/>
        <w:spacing w:before="8"/>
        <w:rPr>
          <w:sz w:val="21"/>
        </w:rPr>
      </w:pPr>
    </w:p>
    <w:p w:rsidR="001250E1" w:rsidRDefault="00D56DAA">
      <w:pPr>
        <w:pStyle w:val="BodyText"/>
        <w:spacing w:before="100"/>
        <w:ind w:left="112" w:right="148"/>
        <w:jc w:val="both"/>
      </w:pPr>
      <w:r>
        <w:t>Each of the Non-Executive Directors have letters of appointment. The letters of appointment do not contain any contractual entitlement to a termination payment and the Non-Executive Directors can be removed in accordance with the Company’s articles of association.</w:t>
      </w:r>
    </w:p>
    <w:p w:rsidR="001250E1" w:rsidRDefault="00D56DAA">
      <w:pPr>
        <w:pStyle w:val="BodyText"/>
        <w:spacing w:before="120"/>
        <w:ind w:left="112" w:right="149"/>
        <w:jc w:val="both"/>
      </w:pPr>
      <w:r>
        <w:t>All Executive Directors’ service contracts and Non-Executive Directors’ letters of appointment are available for inspection at the Company’s registered</w:t>
      </w:r>
      <w:r>
        <w:rPr>
          <w:spacing w:val="-3"/>
        </w:rPr>
        <w:t xml:space="preserve"> </w:t>
      </w:r>
      <w:r>
        <w:t>office.</w:t>
      </w:r>
    </w:p>
    <w:p w:rsidR="001250E1" w:rsidRDefault="00D56DAA">
      <w:pPr>
        <w:pStyle w:val="BodyText"/>
        <w:spacing w:before="120"/>
        <w:ind w:left="112"/>
      </w:pPr>
      <w:r>
        <w:t>All Directors are subject to annual</w:t>
      </w:r>
      <w:r>
        <w:rPr>
          <w:spacing w:val="-22"/>
        </w:rPr>
        <w:t xml:space="preserve"> </w:t>
      </w:r>
      <w:r>
        <w:t>re-election.</w:t>
      </w:r>
    </w:p>
    <w:p w:rsidR="001250E1" w:rsidRDefault="001250E1">
      <w:pPr>
        <w:pStyle w:val="BodyText"/>
        <w:spacing w:before="11"/>
        <w:rPr>
          <w:sz w:val="19"/>
        </w:rPr>
      </w:pPr>
    </w:p>
    <w:p w:rsidR="001250E1" w:rsidRDefault="00D56DAA">
      <w:pPr>
        <w:pStyle w:val="Heading1"/>
        <w:numPr>
          <w:ilvl w:val="0"/>
          <w:numId w:val="4"/>
        </w:numPr>
        <w:tabs>
          <w:tab w:val="left" w:pos="539"/>
          <w:tab w:val="left" w:pos="540"/>
        </w:tabs>
        <w:spacing w:before="1"/>
        <w:ind w:left="539" w:hanging="427"/>
      </w:pPr>
      <w:bookmarkStart w:id="4" w:name="4._Payments_to_Outgoing_Executive_Direct"/>
      <w:bookmarkEnd w:id="4"/>
      <w:r>
        <w:t>Payments to Outgoing Executive Directors</w:t>
      </w:r>
    </w:p>
    <w:p w:rsidR="001250E1" w:rsidRDefault="00D56DAA">
      <w:pPr>
        <w:pStyle w:val="BodyText"/>
        <w:spacing w:before="58"/>
        <w:ind w:left="112" w:right="148"/>
        <w:jc w:val="both"/>
      </w:pPr>
      <w:r>
        <w:t>Executive Directors will be entitled to receive their basic salary and any contractual benefits for any notice period. The</w:t>
      </w:r>
      <w:r>
        <w:rPr>
          <w:spacing w:val="-17"/>
        </w:rPr>
        <w:t xml:space="preserve"> </w:t>
      </w:r>
      <w:r>
        <w:t>Company</w:t>
      </w:r>
      <w:r>
        <w:rPr>
          <w:spacing w:val="-15"/>
        </w:rPr>
        <w:t xml:space="preserve"> </w:t>
      </w:r>
      <w:r>
        <w:t>may,</w:t>
      </w:r>
      <w:r>
        <w:rPr>
          <w:spacing w:val="-17"/>
        </w:rPr>
        <w:t xml:space="preserve"> </w:t>
      </w:r>
      <w:r>
        <w:t>in</w:t>
      </w:r>
      <w:r>
        <w:rPr>
          <w:spacing w:val="-18"/>
        </w:rPr>
        <w:t xml:space="preserve"> </w:t>
      </w:r>
      <w:r>
        <w:t>its</w:t>
      </w:r>
      <w:r>
        <w:rPr>
          <w:spacing w:val="-18"/>
        </w:rPr>
        <w:t xml:space="preserve"> </w:t>
      </w:r>
      <w:r>
        <w:t>absolute</w:t>
      </w:r>
      <w:r>
        <w:rPr>
          <w:spacing w:val="-16"/>
        </w:rPr>
        <w:t xml:space="preserve"> </w:t>
      </w:r>
      <w:r>
        <w:t>discretion,</w:t>
      </w:r>
      <w:r>
        <w:rPr>
          <w:spacing w:val="-15"/>
        </w:rPr>
        <w:t xml:space="preserve"> </w:t>
      </w:r>
      <w:r>
        <w:t>elect</w:t>
      </w:r>
      <w:r>
        <w:rPr>
          <w:spacing w:val="-16"/>
        </w:rPr>
        <w:t xml:space="preserve"> </w:t>
      </w:r>
      <w:r>
        <w:t>to</w:t>
      </w:r>
      <w:r>
        <w:rPr>
          <w:spacing w:val="-18"/>
        </w:rPr>
        <w:t xml:space="preserve"> </w:t>
      </w:r>
      <w:r>
        <w:t>terminate</w:t>
      </w:r>
      <w:r>
        <w:rPr>
          <w:spacing w:val="-16"/>
        </w:rPr>
        <w:t xml:space="preserve"> </w:t>
      </w:r>
      <w:r>
        <w:t>an</w:t>
      </w:r>
      <w:r>
        <w:rPr>
          <w:spacing w:val="-18"/>
        </w:rPr>
        <w:t xml:space="preserve"> </w:t>
      </w:r>
      <w:r>
        <w:t>Executive</w:t>
      </w:r>
      <w:r>
        <w:rPr>
          <w:spacing w:val="-14"/>
        </w:rPr>
        <w:t xml:space="preserve"> </w:t>
      </w:r>
      <w:r>
        <w:t>Director’s</w:t>
      </w:r>
      <w:r>
        <w:rPr>
          <w:spacing w:val="-18"/>
        </w:rPr>
        <w:t xml:space="preserve"> </w:t>
      </w:r>
      <w:r>
        <w:t>contract</w:t>
      </w:r>
      <w:r>
        <w:rPr>
          <w:spacing w:val="-16"/>
        </w:rPr>
        <w:t xml:space="preserve"> </w:t>
      </w:r>
      <w:r>
        <w:t>by</w:t>
      </w:r>
      <w:r>
        <w:rPr>
          <w:spacing w:val="-18"/>
        </w:rPr>
        <w:t xml:space="preserve"> </w:t>
      </w:r>
      <w:r>
        <w:t>making</w:t>
      </w:r>
      <w:r>
        <w:rPr>
          <w:spacing w:val="-14"/>
        </w:rPr>
        <w:t xml:space="preserve"> </w:t>
      </w:r>
      <w:r>
        <w:t>a</w:t>
      </w:r>
      <w:r>
        <w:rPr>
          <w:spacing w:val="-17"/>
        </w:rPr>
        <w:t xml:space="preserve"> </w:t>
      </w:r>
      <w:r>
        <w:t xml:space="preserve">payment in lieu of notice of the individual’s salary for that period. The Remuneration Committee may structure any such payments in such a way as it deems appropriate, </w:t>
      </w:r>
      <w:proofErr w:type="gramStart"/>
      <w:r>
        <w:t>taking into account</w:t>
      </w:r>
      <w:proofErr w:type="gramEnd"/>
      <w:r>
        <w:t xml:space="preserve"> the circumstances of</w:t>
      </w:r>
      <w:r>
        <w:rPr>
          <w:spacing w:val="-19"/>
        </w:rPr>
        <w:t xml:space="preserve"> </w:t>
      </w:r>
      <w:r>
        <w:t>departure.</w:t>
      </w:r>
    </w:p>
    <w:p w:rsidR="001250E1" w:rsidRDefault="00D56DAA">
      <w:pPr>
        <w:pStyle w:val="BodyText"/>
        <w:spacing w:before="122"/>
        <w:ind w:left="112" w:right="148"/>
        <w:jc w:val="both"/>
      </w:pPr>
      <w:r>
        <w:t>Any</w:t>
      </w:r>
      <w:r>
        <w:rPr>
          <w:spacing w:val="-7"/>
        </w:rPr>
        <w:t xml:space="preserve"> </w:t>
      </w:r>
      <w:r>
        <w:t>payments</w:t>
      </w:r>
      <w:r>
        <w:rPr>
          <w:spacing w:val="-5"/>
        </w:rPr>
        <w:t xml:space="preserve"> </w:t>
      </w:r>
      <w:r>
        <w:t>of</w:t>
      </w:r>
      <w:r>
        <w:rPr>
          <w:spacing w:val="-6"/>
        </w:rPr>
        <w:t xml:space="preserve"> </w:t>
      </w:r>
      <w:r>
        <w:t>compensation</w:t>
      </w:r>
      <w:r>
        <w:rPr>
          <w:spacing w:val="-6"/>
        </w:rPr>
        <w:t xml:space="preserve"> </w:t>
      </w:r>
      <w:r>
        <w:t>will</w:t>
      </w:r>
      <w:r>
        <w:rPr>
          <w:spacing w:val="-5"/>
        </w:rPr>
        <w:t xml:space="preserve"> </w:t>
      </w:r>
      <w:r>
        <w:t>be</w:t>
      </w:r>
      <w:r>
        <w:rPr>
          <w:spacing w:val="-4"/>
        </w:rPr>
        <w:t xml:space="preserve"> </w:t>
      </w:r>
      <w:r>
        <w:t>subject</w:t>
      </w:r>
      <w:r>
        <w:rPr>
          <w:spacing w:val="-4"/>
        </w:rPr>
        <w:t xml:space="preserve"> </w:t>
      </w:r>
      <w:r>
        <w:t>to</w:t>
      </w:r>
      <w:r>
        <w:rPr>
          <w:spacing w:val="-3"/>
        </w:rPr>
        <w:t xml:space="preserve"> </w:t>
      </w:r>
      <w:r>
        <w:t>negotiation</w:t>
      </w:r>
      <w:r>
        <w:rPr>
          <w:spacing w:val="-6"/>
        </w:rPr>
        <w:t xml:space="preserve"> </w:t>
      </w:r>
      <w:r>
        <w:t>and</w:t>
      </w:r>
      <w:r>
        <w:rPr>
          <w:spacing w:val="-4"/>
        </w:rPr>
        <w:t xml:space="preserve"> </w:t>
      </w:r>
      <w:r>
        <w:t>the</w:t>
      </w:r>
      <w:r>
        <w:rPr>
          <w:spacing w:val="-4"/>
        </w:rPr>
        <w:t xml:space="preserve"> </w:t>
      </w:r>
      <w:r>
        <w:t>Remuneration</w:t>
      </w:r>
      <w:r>
        <w:rPr>
          <w:spacing w:val="-6"/>
        </w:rPr>
        <w:t xml:space="preserve"> </w:t>
      </w:r>
      <w:r>
        <w:t>Policy</w:t>
      </w:r>
      <w:r>
        <w:rPr>
          <w:spacing w:val="-6"/>
        </w:rPr>
        <w:t xml:space="preserve"> </w:t>
      </w:r>
      <w:r>
        <w:t>includes</w:t>
      </w:r>
      <w:r>
        <w:rPr>
          <w:spacing w:val="-4"/>
        </w:rPr>
        <w:t xml:space="preserve"> </w:t>
      </w:r>
      <w:r>
        <w:t>consideration</w:t>
      </w:r>
      <w:r>
        <w:rPr>
          <w:spacing w:val="-6"/>
        </w:rPr>
        <w:t xml:space="preserve"> </w:t>
      </w:r>
      <w:r>
        <w:t>of appropriate mitigation, including phasing of</w:t>
      </w:r>
      <w:r>
        <w:rPr>
          <w:spacing w:val="-2"/>
        </w:rPr>
        <w:t xml:space="preserve"> </w:t>
      </w:r>
      <w:r>
        <w:t>payments.</w:t>
      </w:r>
    </w:p>
    <w:p w:rsidR="001250E1" w:rsidRDefault="00D56DAA">
      <w:pPr>
        <w:pStyle w:val="BodyText"/>
        <w:spacing w:before="119"/>
        <w:ind w:left="112" w:right="146"/>
        <w:jc w:val="both"/>
      </w:pPr>
      <w:r>
        <w:t>In the event of an Executive Director’s departure, any outstanding share awards will be treated in accordance with the rules of the relevant share plan.</w:t>
      </w:r>
    </w:p>
    <w:p w:rsidR="001250E1" w:rsidRDefault="00D56DAA">
      <w:pPr>
        <w:pStyle w:val="BodyText"/>
        <w:spacing w:before="120"/>
        <w:ind w:left="112" w:right="149"/>
        <w:jc w:val="both"/>
      </w:pPr>
      <w:r>
        <w:t>The following principles apply for the treatment of remuneration elements following loss of office of an Executive Director:</w:t>
      </w:r>
    </w:p>
    <w:p w:rsidR="001250E1" w:rsidRDefault="001250E1">
      <w:pPr>
        <w:pStyle w:val="BodyText"/>
        <w:spacing w:before="9"/>
        <w:rPr>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220"/>
      </w:tblGrid>
      <w:tr w:rsidR="001250E1">
        <w:trPr>
          <w:trHeight w:val="844"/>
        </w:trPr>
        <w:tc>
          <w:tcPr>
            <w:tcW w:w="1980" w:type="dxa"/>
          </w:tcPr>
          <w:p w:rsidR="001250E1" w:rsidRDefault="00D56DAA">
            <w:pPr>
              <w:pStyle w:val="TableParagraph"/>
              <w:spacing w:before="3"/>
              <w:rPr>
                <w:b/>
                <w:sz w:val="20"/>
              </w:rPr>
            </w:pPr>
            <w:r>
              <w:rPr>
                <w:b/>
                <w:sz w:val="20"/>
              </w:rPr>
              <w:t>Annual Bonus</w:t>
            </w:r>
          </w:p>
        </w:tc>
        <w:tc>
          <w:tcPr>
            <w:tcW w:w="8220" w:type="dxa"/>
          </w:tcPr>
          <w:p w:rsidR="001250E1" w:rsidRDefault="00D56DAA">
            <w:pPr>
              <w:pStyle w:val="TableParagraph"/>
              <w:spacing w:before="1"/>
              <w:ind w:right="96"/>
              <w:jc w:val="both"/>
              <w:rPr>
                <w:sz w:val="20"/>
              </w:rPr>
            </w:pPr>
            <w:r>
              <w:rPr>
                <w:sz w:val="20"/>
              </w:rPr>
              <w:t xml:space="preserve">There is no automatic entitlement to annual bonus. </w:t>
            </w:r>
            <w:proofErr w:type="gramStart"/>
            <w:r>
              <w:rPr>
                <w:sz w:val="20"/>
              </w:rPr>
              <w:t>Taking into account</w:t>
            </w:r>
            <w:proofErr w:type="gramEnd"/>
            <w:r>
              <w:rPr>
                <w:sz w:val="20"/>
              </w:rPr>
              <w:t xml:space="preserve"> the circumstances of leaving, the Remuneration Committee may award a bonus in respect of performance in the</w:t>
            </w:r>
            <w:r>
              <w:rPr>
                <w:spacing w:val="-17"/>
                <w:sz w:val="20"/>
              </w:rPr>
              <w:t xml:space="preserve"> </w:t>
            </w:r>
            <w:r>
              <w:rPr>
                <w:sz w:val="20"/>
              </w:rPr>
              <w:t>relevant</w:t>
            </w:r>
            <w:r>
              <w:rPr>
                <w:spacing w:val="-14"/>
                <w:sz w:val="20"/>
              </w:rPr>
              <w:t xml:space="preserve"> </w:t>
            </w:r>
            <w:r>
              <w:rPr>
                <w:sz w:val="20"/>
              </w:rPr>
              <w:t>financial</w:t>
            </w:r>
            <w:r>
              <w:rPr>
                <w:spacing w:val="-15"/>
                <w:sz w:val="20"/>
              </w:rPr>
              <w:t xml:space="preserve"> </w:t>
            </w:r>
            <w:r>
              <w:rPr>
                <w:sz w:val="20"/>
              </w:rPr>
              <w:t>year</w:t>
            </w:r>
            <w:r>
              <w:rPr>
                <w:spacing w:val="-17"/>
                <w:sz w:val="20"/>
              </w:rPr>
              <w:t xml:space="preserve"> </w:t>
            </w:r>
            <w:r>
              <w:rPr>
                <w:sz w:val="20"/>
              </w:rPr>
              <w:t>with</w:t>
            </w:r>
            <w:r>
              <w:rPr>
                <w:spacing w:val="-18"/>
                <w:sz w:val="20"/>
              </w:rPr>
              <w:t xml:space="preserve"> </w:t>
            </w:r>
            <w:r>
              <w:rPr>
                <w:sz w:val="20"/>
              </w:rPr>
              <w:t>appropriate</w:t>
            </w:r>
            <w:r>
              <w:rPr>
                <w:spacing w:val="-16"/>
                <w:sz w:val="20"/>
              </w:rPr>
              <w:t xml:space="preserve"> </w:t>
            </w:r>
            <w:r>
              <w:rPr>
                <w:sz w:val="20"/>
              </w:rPr>
              <w:t>consideration</w:t>
            </w:r>
            <w:r>
              <w:rPr>
                <w:spacing w:val="-18"/>
                <w:sz w:val="20"/>
              </w:rPr>
              <w:t xml:space="preserve"> </w:t>
            </w:r>
            <w:r>
              <w:rPr>
                <w:sz w:val="20"/>
              </w:rPr>
              <w:t>of</w:t>
            </w:r>
            <w:r>
              <w:rPr>
                <w:spacing w:val="-19"/>
                <w:sz w:val="20"/>
              </w:rPr>
              <w:t xml:space="preserve"> </w:t>
            </w:r>
            <w:r>
              <w:rPr>
                <w:sz w:val="20"/>
              </w:rPr>
              <w:t>time</w:t>
            </w:r>
            <w:r>
              <w:rPr>
                <w:spacing w:val="-16"/>
                <w:sz w:val="20"/>
              </w:rPr>
              <w:t xml:space="preserve"> </w:t>
            </w:r>
            <w:r>
              <w:rPr>
                <w:sz w:val="20"/>
              </w:rPr>
              <w:t>pro-rating,</w:t>
            </w:r>
            <w:r>
              <w:rPr>
                <w:spacing w:val="-17"/>
                <w:sz w:val="20"/>
              </w:rPr>
              <w:t xml:space="preserve"> </w:t>
            </w:r>
            <w:r>
              <w:rPr>
                <w:sz w:val="20"/>
              </w:rPr>
              <w:t>where</w:t>
            </w:r>
            <w:r>
              <w:rPr>
                <w:spacing w:val="-15"/>
                <w:sz w:val="20"/>
              </w:rPr>
              <w:t xml:space="preserve"> </w:t>
            </w:r>
            <w:r>
              <w:rPr>
                <w:sz w:val="20"/>
              </w:rPr>
              <w:t>relevant.</w:t>
            </w:r>
          </w:p>
        </w:tc>
      </w:tr>
      <w:tr w:rsidR="001250E1">
        <w:trPr>
          <w:trHeight w:val="966"/>
        </w:trPr>
        <w:tc>
          <w:tcPr>
            <w:tcW w:w="1980" w:type="dxa"/>
          </w:tcPr>
          <w:p w:rsidR="001250E1" w:rsidRDefault="00D56DAA">
            <w:pPr>
              <w:pStyle w:val="TableParagraph"/>
              <w:spacing w:before="1"/>
              <w:ind w:right="281"/>
              <w:rPr>
                <w:b/>
                <w:sz w:val="20"/>
              </w:rPr>
            </w:pPr>
            <w:r>
              <w:rPr>
                <w:b/>
                <w:sz w:val="20"/>
              </w:rPr>
              <w:t>Deferred Bonus Shares</w:t>
            </w:r>
          </w:p>
        </w:tc>
        <w:tc>
          <w:tcPr>
            <w:tcW w:w="8220" w:type="dxa"/>
          </w:tcPr>
          <w:p w:rsidR="001250E1" w:rsidRDefault="00D56DAA">
            <w:pPr>
              <w:pStyle w:val="TableParagraph"/>
              <w:spacing w:before="1"/>
              <w:ind w:right="95"/>
              <w:jc w:val="both"/>
              <w:rPr>
                <w:sz w:val="20"/>
              </w:rPr>
            </w:pPr>
            <w:r>
              <w:rPr>
                <w:sz w:val="20"/>
              </w:rPr>
              <w:t>Deferred Bonus Shares are required to be transferred back to the Company (or the Executive Director to pay the market value of such ordinary shares to the Company) in circumstances of resignation or dismissal. In other circumstances the Deferred Bonus</w:t>
            </w:r>
          </w:p>
          <w:p w:rsidR="001250E1" w:rsidRDefault="00D56DAA">
            <w:pPr>
              <w:pStyle w:val="TableParagraph"/>
              <w:spacing w:before="1" w:line="221" w:lineRule="exact"/>
              <w:jc w:val="both"/>
              <w:rPr>
                <w:sz w:val="20"/>
              </w:rPr>
            </w:pPr>
            <w:r>
              <w:rPr>
                <w:sz w:val="20"/>
              </w:rPr>
              <w:t>Shares would normally be retained by the Executive Director.</w:t>
            </w:r>
          </w:p>
        </w:tc>
      </w:tr>
      <w:tr w:rsidR="001250E1">
        <w:trPr>
          <w:trHeight w:val="4586"/>
        </w:trPr>
        <w:tc>
          <w:tcPr>
            <w:tcW w:w="1980" w:type="dxa"/>
          </w:tcPr>
          <w:p w:rsidR="001250E1" w:rsidRDefault="00D56DAA">
            <w:pPr>
              <w:pStyle w:val="TableParagraph"/>
              <w:spacing w:before="1"/>
              <w:rPr>
                <w:b/>
                <w:sz w:val="20"/>
              </w:rPr>
            </w:pPr>
            <w:r>
              <w:rPr>
                <w:b/>
                <w:sz w:val="20"/>
              </w:rPr>
              <w:t>2019 LTIP</w:t>
            </w:r>
          </w:p>
        </w:tc>
        <w:tc>
          <w:tcPr>
            <w:tcW w:w="8220" w:type="dxa"/>
          </w:tcPr>
          <w:p w:rsidR="001250E1" w:rsidRDefault="00D56DAA">
            <w:pPr>
              <w:pStyle w:val="TableParagraph"/>
              <w:spacing w:before="1"/>
              <w:ind w:right="97"/>
              <w:jc w:val="both"/>
              <w:rPr>
                <w:sz w:val="20"/>
              </w:rPr>
            </w:pPr>
            <w:r>
              <w:rPr>
                <w:sz w:val="20"/>
              </w:rPr>
              <w:t>If an Executive Director ceases office or employment with the Company before the end of the</w:t>
            </w:r>
            <w:r>
              <w:rPr>
                <w:spacing w:val="-7"/>
                <w:sz w:val="20"/>
              </w:rPr>
              <w:t xml:space="preserve"> </w:t>
            </w:r>
            <w:r>
              <w:rPr>
                <w:sz w:val="20"/>
              </w:rPr>
              <w:t>performance</w:t>
            </w:r>
            <w:r>
              <w:rPr>
                <w:spacing w:val="-7"/>
                <w:sz w:val="20"/>
              </w:rPr>
              <w:t xml:space="preserve"> </w:t>
            </w:r>
            <w:r>
              <w:rPr>
                <w:sz w:val="20"/>
              </w:rPr>
              <w:t>period</w:t>
            </w:r>
            <w:r>
              <w:rPr>
                <w:spacing w:val="-7"/>
                <w:sz w:val="20"/>
              </w:rPr>
              <w:t xml:space="preserve"> </w:t>
            </w:r>
            <w:r>
              <w:rPr>
                <w:sz w:val="20"/>
              </w:rPr>
              <w:t>any</w:t>
            </w:r>
            <w:r>
              <w:rPr>
                <w:spacing w:val="-5"/>
                <w:sz w:val="20"/>
              </w:rPr>
              <w:t xml:space="preserve"> </w:t>
            </w:r>
            <w:r>
              <w:rPr>
                <w:sz w:val="20"/>
              </w:rPr>
              <w:t>unvested</w:t>
            </w:r>
            <w:r>
              <w:rPr>
                <w:spacing w:val="-5"/>
                <w:sz w:val="20"/>
              </w:rPr>
              <w:t xml:space="preserve"> </w:t>
            </w:r>
            <w:r>
              <w:rPr>
                <w:sz w:val="20"/>
              </w:rPr>
              <w:t>2019</w:t>
            </w:r>
            <w:r>
              <w:rPr>
                <w:spacing w:val="-6"/>
                <w:sz w:val="20"/>
              </w:rPr>
              <w:t xml:space="preserve"> </w:t>
            </w:r>
            <w:r>
              <w:rPr>
                <w:sz w:val="20"/>
              </w:rPr>
              <w:t>LTIP</w:t>
            </w:r>
            <w:r>
              <w:rPr>
                <w:spacing w:val="-6"/>
                <w:sz w:val="20"/>
              </w:rPr>
              <w:t xml:space="preserve"> </w:t>
            </w:r>
            <w:r>
              <w:rPr>
                <w:sz w:val="20"/>
              </w:rPr>
              <w:t>awards</w:t>
            </w:r>
            <w:r>
              <w:rPr>
                <w:spacing w:val="-7"/>
                <w:sz w:val="20"/>
              </w:rPr>
              <w:t xml:space="preserve"> </w:t>
            </w:r>
            <w:r>
              <w:rPr>
                <w:sz w:val="20"/>
              </w:rPr>
              <w:t>will</w:t>
            </w:r>
            <w:r>
              <w:rPr>
                <w:spacing w:val="-7"/>
                <w:sz w:val="20"/>
              </w:rPr>
              <w:t xml:space="preserve"> </w:t>
            </w:r>
            <w:r>
              <w:rPr>
                <w:sz w:val="20"/>
              </w:rPr>
              <w:t>lapse</w:t>
            </w:r>
            <w:r>
              <w:rPr>
                <w:spacing w:val="-3"/>
                <w:sz w:val="20"/>
              </w:rPr>
              <w:t xml:space="preserve"> </w:t>
            </w:r>
            <w:r>
              <w:rPr>
                <w:sz w:val="20"/>
              </w:rPr>
              <w:t>unless</w:t>
            </w:r>
            <w:r>
              <w:rPr>
                <w:spacing w:val="-7"/>
                <w:sz w:val="20"/>
              </w:rPr>
              <w:t xml:space="preserve"> </w:t>
            </w:r>
            <w:r>
              <w:rPr>
                <w:sz w:val="20"/>
              </w:rPr>
              <w:t>the</w:t>
            </w:r>
            <w:r>
              <w:rPr>
                <w:spacing w:val="-4"/>
                <w:sz w:val="20"/>
              </w:rPr>
              <w:t xml:space="preserve"> </w:t>
            </w:r>
            <w:r>
              <w:rPr>
                <w:sz w:val="20"/>
              </w:rPr>
              <w:t>individual</w:t>
            </w:r>
            <w:r>
              <w:rPr>
                <w:spacing w:val="-6"/>
                <w:sz w:val="20"/>
              </w:rPr>
              <w:t xml:space="preserve"> </w:t>
            </w:r>
            <w:r>
              <w:rPr>
                <w:sz w:val="20"/>
              </w:rPr>
              <w:t>is</w:t>
            </w:r>
            <w:r>
              <w:rPr>
                <w:spacing w:val="-7"/>
                <w:sz w:val="20"/>
              </w:rPr>
              <w:t xml:space="preserve"> </w:t>
            </w:r>
            <w:r>
              <w:rPr>
                <w:sz w:val="20"/>
              </w:rPr>
              <w:t>a good</w:t>
            </w:r>
            <w:r>
              <w:rPr>
                <w:spacing w:val="-1"/>
                <w:sz w:val="20"/>
              </w:rPr>
              <w:t xml:space="preserve"> </w:t>
            </w:r>
            <w:r>
              <w:rPr>
                <w:sz w:val="20"/>
              </w:rPr>
              <w:t>leaver.</w:t>
            </w:r>
          </w:p>
          <w:p w:rsidR="001250E1" w:rsidRDefault="001250E1">
            <w:pPr>
              <w:pStyle w:val="TableParagraph"/>
              <w:spacing w:before="11"/>
              <w:ind w:left="0"/>
              <w:rPr>
                <w:sz w:val="19"/>
              </w:rPr>
            </w:pPr>
          </w:p>
          <w:p w:rsidR="001250E1" w:rsidRDefault="00D56DAA">
            <w:pPr>
              <w:pStyle w:val="TableParagraph"/>
              <w:ind w:right="94"/>
              <w:jc w:val="both"/>
              <w:rPr>
                <w:sz w:val="20"/>
              </w:rPr>
            </w:pPr>
            <w:r>
              <w:rPr>
                <w:sz w:val="20"/>
              </w:rPr>
              <w:t>Good leavers are those participants who leave by reason of injury, disability, retirement (with the agreement of the employing company), redundancy, the transfer of the individual’s employing company or business out of the Group or such other circumstances as</w:t>
            </w:r>
            <w:r>
              <w:rPr>
                <w:spacing w:val="-13"/>
                <w:sz w:val="20"/>
              </w:rPr>
              <w:t xml:space="preserve"> </w:t>
            </w:r>
            <w:r>
              <w:rPr>
                <w:sz w:val="20"/>
              </w:rPr>
              <w:t>the</w:t>
            </w:r>
            <w:r>
              <w:rPr>
                <w:spacing w:val="-11"/>
                <w:sz w:val="20"/>
              </w:rPr>
              <w:t xml:space="preserve"> </w:t>
            </w:r>
            <w:r>
              <w:rPr>
                <w:sz w:val="20"/>
              </w:rPr>
              <w:t>Remuneration</w:t>
            </w:r>
            <w:r>
              <w:rPr>
                <w:spacing w:val="-13"/>
                <w:sz w:val="20"/>
              </w:rPr>
              <w:t xml:space="preserve"> </w:t>
            </w:r>
            <w:r>
              <w:rPr>
                <w:sz w:val="20"/>
              </w:rPr>
              <w:t>Committee</w:t>
            </w:r>
            <w:r>
              <w:rPr>
                <w:spacing w:val="-12"/>
                <w:sz w:val="20"/>
              </w:rPr>
              <w:t xml:space="preserve"> </w:t>
            </w:r>
            <w:r>
              <w:rPr>
                <w:sz w:val="20"/>
              </w:rPr>
              <w:t>may</w:t>
            </w:r>
            <w:r>
              <w:rPr>
                <w:spacing w:val="-13"/>
                <w:sz w:val="20"/>
              </w:rPr>
              <w:t xml:space="preserve"> </w:t>
            </w:r>
            <w:r>
              <w:rPr>
                <w:sz w:val="20"/>
              </w:rPr>
              <w:t>determine.</w:t>
            </w:r>
            <w:r>
              <w:rPr>
                <w:spacing w:val="-10"/>
                <w:sz w:val="20"/>
              </w:rPr>
              <w:t xml:space="preserve"> </w:t>
            </w:r>
            <w:r>
              <w:rPr>
                <w:sz w:val="20"/>
              </w:rPr>
              <w:t>This</w:t>
            </w:r>
            <w:r>
              <w:rPr>
                <w:spacing w:val="-13"/>
                <w:sz w:val="20"/>
              </w:rPr>
              <w:t xml:space="preserve"> </w:t>
            </w:r>
            <w:r>
              <w:rPr>
                <w:sz w:val="20"/>
              </w:rPr>
              <w:t>discretion</w:t>
            </w:r>
            <w:r>
              <w:rPr>
                <w:spacing w:val="-11"/>
                <w:sz w:val="20"/>
              </w:rPr>
              <w:t xml:space="preserve"> </w:t>
            </w:r>
            <w:r>
              <w:rPr>
                <w:sz w:val="20"/>
              </w:rPr>
              <w:t>will</w:t>
            </w:r>
            <w:r>
              <w:rPr>
                <w:spacing w:val="-11"/>
                <w:sz w:val="20"/>
              </w:rPr>
              <w:t xml:space="preserve"> </w:t>
            </w:r>
            <w:r>
              <w:rPr>
                <w:sz w:val="20"/>
              </w:rPr>
              <w:t>not</w:t>
            </w:r>
            <w:r>
              <w:rPr>
                <w:spacing w:val="-12"/>
                <w:sz w:val="20"/>
              </w:rPr>
              <w:t xml:space="preserve"> </w:t>
            </w:r>
            <w:r>
              <w:rPr>
                <w:sz w:val="20"/>
              </w:rPr>
              <w:t>be</w:t>
            </w:r>
            <w:r>
              <w:rPr>
                <w:spacing w:val="-8"/>
                <w:sz w:val="20"/>
              </w:rPr>
              <w:t xml:space="preserve"> </w:t>
            </w:r>
            <w:r>
              <w:rPr>
                <w:sz w:val="20"/>
              </w:rPr>
              <w:t>exercised</w:t>
            </w:r>
            <w:r>
              <w:rPr>
                <w:spacing w:val="-13"/>
                <w:sz w:val="20"/>
              </w:rPr>
              <w:t xml:space="preserve"> </w:t>
            </w:r>
            <w:r>
              <w:rPr>
                <w:sz w:val="20"/>
              </w:rPr>
              <w:t>where the individual is dismissed for</w:t>
            </w:r>
            <w:r>
              <w:rPr>
                <w:spacing w:val="-2"/>
                <w:sz w:val="20"/>
              </w:rPr>
              <w:t xml:space="preserve"> </w:t>
            </w:r>
            <w:r>
              <w:rPr>
                <w:sz w:val="20"/>
              </w:rPr>
              <w:t>misconduct.</w:t>
            </w:r>
          </w:p>
          <w:p w:rsidR="001250E1" w:rsidRDefault="001250E1">
            <w:pPr>
              <w:pStyle w:val="TableParagraph"/>
              <w:spacing w:before="1"/>
              <w:ind w:left="0"/>
              <w:rPr>
                <w:sz w:val="20"/>
              </w:rPr>
            </w:pPr>
          </w:p>
          <w:p w:rsidR="001250E1" w:rsidRDefault="00D56DAA">
            <w:pPr>
              <w:pStyle w:val="TableParagraph"/>
              <w:ind w:right="97"/>
              <w:jc w:val="both"/>
              <w:rPr>
                <w:sz w:val="20"/>
              </w:rPr>
            </w:pPr>
            <w:r>
              <w:rPr>
                <w:sz w:val="20"/>
              </w:rPr>
              <w:t>If an Executive Director ceases office or employment with the Company during the</w:t>
            </w:r>
            <w:r>
              <w:rPr>
                <w:spacing w:val="-37"/>
                <w:sz w:val="20"/>
              </w:rPr>
              <w:t xml:space="preserve"> </w:t>
            </w:r>
            <w:r>
              <w:rPr>
                <w:sz w:val="20"/>
              </w:rPr>
              <w:t>holding period, 2019 LTIP awards would normally be retained unless the individual leaves due to misconduct.</w:t>
            </w:r>
          </w:p>
          <w:p w:rsidR="001250E1" w:rsidRDefault="001250E1">
            <w:pPr>
              <w:pStyle w:val="TableParagraph"/>
              <w:ind w:left="0"/>
              <w:rPr>
                <w:sz w:val="20"/>
              </w:rPr>
            </w:pPr>
          </w:p>
          <w:p w:rsidR="001250E1" w:rsidRDefault="00D56DAA">
            <w:pPr>
              <w:pStyle w:val="TableParagraph"/>
              <w:ind w:right="94"/>
              <w:jc w:val="both"/>
              <w:rPr>
                <w:sz w:val="20"/>
              </w:rPr>
            </w:pPr>
            <w:r>
              <w:rPr>
                <w:sz w:val="20"/>
              </w:rPr>
              <w:t>Awards will normally vest on the normal vesting date subject to performance to the end of the relevant performance period and time pro-rating (unless the Remuneration Committee decides that awards should vest early and/or that time pro-rating should be disapplied in</w:t>
            </w:r>
          </w:p>
          <w:p w:rsidR="001250E1" w:rsidRDefault="00D56DAA">
            <w:pPr>
              <w:pStyle w:val="TableParagraph"/>
              <w:spacing w:before="8" w:line="240" w:lineRule="exact"/>
              <w:ind w:right="97"/>
              <w:jc w:val="both"/>
              <w:rPr>
                <w:sz w:val="20"/>
              </w:rPr>
            </w:pPr>
            <w:r>
              <w:rPr>
                <w:sz w:val="20"/>
              </w:rPr>
              <w:t>part or in full). Any post vesting holding period will normally continue to apply post cessation.</w:t>
            </w:r>
          </w:p>
        </w:tc>
      </w:tr>
    </w:tbl>
    <w:p w:rsidR="001250E1" w:rsidRDefault="001250E1">
      <w:pPr>
        <w:spacing w:line="240" w:lineRule="exact"/>
        <w:jc w:val="both"/>
        <w:rPr>
          <w:sz w:val="20"/>
        </w:rPr>
        <w:sectPr w:rsidR="001250E1">
          <w:pgSz w:w="11910" w:h="16840"/>
          <w:pgMar w:top="960" w:right="560" w:bottom="280" w:left="90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220"/>
      </w:tblGrid>
      <w:tr w:rsidR="001250E1">
        <w:trPr>
          <w:trHeight w:val="964"/>
        </w:trPr>
        <w:tc>
          <w:tcPr>
            <w:tcW w:w="1980" w:type="dxa"/>
          </w:tcPr>
          <w:p w:rsidR="001250E1" w:rsidRDefault="001250E1">
            <w:pPr>
              <w:pStyle w:val="TableParagraph"/>
              <w:ind w:left="0"/>
              <w:rPr>
                <w:rFonts w:ascii="Times New Roman"/>
                <w:sz w:val="18"/>
              </w:rPr>
            </w:pPr>
          </w:p>
        </w:tc>
        <w:tc>
          <w:tcPr>
            <w:tcW w:w="8220" w:type="dxa"/>
          </w:tcPr>
          <w:p w:rsidR="001250E1" w:rsidRDefault="001250E1">
            <w:pPr>
              <w:pStyle w:val="TableParagraph"/>
              <w:spacing w:before="2"/>
              <w:ind w:left="0"/>
              <w:rPr>
                <w:sz w:val="19"/>
              </w:rPr>
            </w:pPr>
          </w:p>
          <w:p w:rsidR="001250E1" w:rsidRDefault="00D56DAA">
            <w:pPr>
              <w:pStyle w:val="TableParagraph"/>
              <w:rPr>
                <w:sz w:val="20"/>
              </w:rPr>
            </w:pPr>
            <w:r>
              <w:rPr>
                <w:sz w:val="20"/>
              </w:rPr>
              <w:t>If the participant dies, awards will normally vest as soon as practical on a time-apportioned</w:t>
            </w:r>
          </w:p>
          <w:p w:rsidR="001250E1" w:rsidRDefault="00D56DAA">
            <w:pPr>
              <w:pStyle w:val="TableParagraph"/>
              <w:spacing w:before="9" w:line="240" w:lineRule="exact"/>
              <w:ind w:hanging="1"/>
              <w:rPr>
                <w:sz w:val="20"/>
              </w:rPr>
            </w:pPr>
            <w:r>
              <w:rPr>
                <w:sz w:val="20"/>
              </w:rPr>
              <w:t>basis and subject to the Remuneration Committee’s assessment of the likelihood that the performance conditions will be met in the ordinary course of events.</w:t>
            </w:r>
          </w:p>
        </w:tc>
      </w:tr>
      <w:tr w:rsidR="001250E1">
        <w:trPr>
          <w:trHeight w:val="5553"/>
        </w:trPr>
        <w:tc>
          <w:tcPr>
            <w:tcW w:w="1980" w:type="dxa"/>
          </w:tcPr>
          <w:p w:rsidR="001250E1" w:rsidRDefault="00D56DAA">
            <w:pPr>
              <w:pStyle w:val="TableParagraph"/>
              <w:spacing w:line="233" w:lineRule="exact"/>
              <w:rPr>
                <w:b/>
                <w:sz w:val="20"/>
              </w:rPr>
            </w:pPr>
            <w:r>
              <w:rPr>
                <w:b/>
                <w:sz w:val="20"/>
              </w:rPr>
              <w:t>2019 TIP</w:t>
            </w:r>
          </w:p>
        </w:tc>
        <w:tc>
          <w:tcPr>
            <w:tcW w:w="8220" w:type="dxa"/>
          </w:tcPr>
          <w:p w:rsidR="001250E1" w:rsidRDefault="00D56DAA">
            <w:pPr>
              <w:pStyle w:val="TableParagraph"/>
              <w:ind w:right="95"/>
              <w:jc w:val="both"/>
              <w:rPr>
                <w:sz w:val="20"/>
              </w:rPr>
            </w:pPr>
            <w:r>
              <w:rPr>
                <w:sz w:val="20"/>
              </w:rPr>
              <w:t>If the Executive Chairman ceases office with the Company before the end of the performance period any unvested TIP Awards will lapse unless the individual is a good leaver. Good leavers are those participants who leave by reason of death, ill-health, injury or</w:t>
            </w:r>
            <w:r>
              <w:rPr>
                <w:spacing w:val="-13"/>
                <w:sz w:val="20"/>
              </w:rPr>
              <w:t xml:space="preserve"> </w:t>
            </w:r>
            <w:r>
              <w:rPr>
                <w:sz w:val="20"/>
              </w:rPr>
              <w:t>disability,</w:t>
            </w:r>
            <w:r>
              <w:rPr>
                <w:spacing w:val="-11"/>
                <w:sz w:val="20"/>
              </w:rPr>
              <w:t xml:space="preserve"> </w:t>
            </w:r>
            <w:r>
              <w:rPr>
                <w:sz w:val="20"/>
              </w:rPr>
              <w:t>or</w:t>
            </w:r>
            <w:r>
              <w:rPr>
                <w:spacing w:val="-13"/>
                <w:sz w:val="20"/>
              </w:rPr>
              <w:t xml:space="preserve"> </w:t>
            </w:r>
            <w:r>
              <w:rPr>
                <w:sz w:val="20"/>
              </w:rPr>
              <w:t>the</w:t>
            </w:r>
            <w:r>
              <w:rPr>
                <w:spacing w:val="-11"/>
                <w:sz w:val="20"/>
              </w:rPr>
              <w:t xml:space="preserve"> </w:t>
            </w:r>
            <w:r>
              <w:rPr>
                <w:sz w:val="20"/>
              </w:rPr>
              <w:t>exercise</w:t>
            </w:r>
            <w:r>
              <w:rPr>
                <w:spacing w:val="-10"/>
                <w:sz w:val="20"/>
              </w:rPr>
              <w:t xml:space="preserve"> </w:t>
            </w:r>
            <w:r>
              <w:rPr>
                <w:sz w:val="20"/>
              </w:rPr>
              <w:t>of</w:t>
            </w:r>
            <w:r>
              <w:rPr>
                <w:spacing w:val="-14"/>
                <w:sz w:val="20"/>
              </w:rPr>
              <w:t xml:space="preserve"> </w:t>
            </w:r>
            <w:r>
              <w:rPr>
                <w:sz w:val="20"/>
              </w:rPr>
              <w:t>the</w:t>
            </w:r>
            <w:r>
              <w:rPr>
                <w:spacing w:val="-11"/>
                <w:sz w:val="20"/>
              </w:rPr>
              <w:t xml:space="preserve"> </w:t>
            </w:r>
            <w:r>
              <w:rPr>
                <w:sz w:val="20"/>
              </w:rPr>
              <w:t>Remuneration</w:t>
            </w:r>
            <w:r>
              <w:rPr>
                <w:spacing w:val="-14"/>
                <w:sz w:val="20"/>
              </w:rPr>
              <w:t xml:space="preserve"> </w:t>
            </w:r>
            <w:r>
              <w:rPr>
                <w:sz w:val="20"/>
              </w:rPr>
              <w:t>Committee’s</w:t>
            </w:r>
            <w:r>
              <w:rPr>
                <w:spacing w:val="-13"/>
                <w:sz w:val="20"/>
              </w:rPr>
              <w:t xml:space="preserve"> </w:t>
            </w:r>
            <w:r>
              <w:rPr>
                <w:sz w:val="20"/>
              </w:rPr>
              <w:t>discretion.</w:t>
            </w:r>
            <w:r>
              <w:rPr>
                <w:spacing w:val="-10"/>
                <w:sz w:val="20"/>
              </w:rPr>
              <w:t xml:space="preserve"> </w:t>
            </w:r>
            <w:r>
              <w:rPr>
                <w:sz w:val="20"/>
              </w:rPr>
              <w:t>This</w:t>
            </w:r>
            <w:r>
              <w:rPr>
                <w:spacing w:val="-13"/>
                <w:sz w:val="20"/>
              </w:rPr>
              <w:t xml:space="preserve"> </w:t>
            </w:r>
            <w:r>
              <w:rPr>
                <w:sz w:val="20"/>
              </w:rPr>
              <w:t>discretion</w:t>
            </w:r>
            <w:r>
              <w:rPr>
                <w:spacing w:val="-14"/>
                <w:sz w:val="20"/>
              </w:rPr>
              <w:t xml:space="preserve"> </w:t>
            </w:r>
            <w:r>
              <w:rPr>
                <w:sz w:val="20"/>
              </w:rPr>
              <w:t>will not be exercised where the individual is dismissed for</w:t>
            </w:r>
            <w:r>
              <w:rPr>
                <w:spacing w:val="-2"/>
                <w:sz w:val="20"/>
              </w:rPr>
              <w:t xml:space="preserve"> </w:t>
            </w:r>
            <w:r>
              <w:rPr>
                <w:sz w:val="20"/>
              </w:rPr>
              <w:t>misconduct.</w:t>
            </w:r>
          </w:p>
          <w:p w:rsidR="001250E1" w:rsidRDefault="001250E1">
            <w:pPr>
              <w:pStyle w:val="TableParagraph"/>
              <w:spacing w:before="2"/>
              <w:ind w:left="0"/>
              <w:rPr>
                <w:sz w:val="19"/>
              </w:rPr>
            </w:pPr>
          </w:p>
          <w:p w:rsidR="001250E1" w:rsidRDefault="00D56DAA">
            <w:pPr>
              <w:pStyle w:val="TableParagraph"/>
              <w:ind w:right="96"/>
              <w:jc w:val="both"/>
              <w:rPr>
                <w:sz w:val="20"/>
              </w:rPr>
            </w:pPr>
            <w:r>
              <w:rPr>
                <w:sz w:val="20"/>
              </w:rPr>
              <w:t xml:space="preserve">Should the Executive Chairman revert to Non-Executive Chairman during the three-year vesting period, the Matching Award will </w:t>
            </w:r>
            <w:proofErr w:type="gramStart"/>
            <w:r>
              <w:rPr>
                <w:sz w:val="20"/>
              </w:rPr>
              <w:t>continue on</w:t>
            </w:r>
            <w:proofErr w:type="gramEnd"/>
            <w:r>
              <w:rPr>
                <w:sz w:val="20"/>
              </w:rPr>
              <w:t xml:space="preserve"> the agreed terms (i.e. there would be no acceleration of vesting and no time pro-rating to reflect the change in role).</w:t>
            </w:r>
          </w:p>
          <w:p w:rsidR="001250E1" w:rsidRDefault="001250E1">
            <w:pPr>
              <w:pStyle w:val="TableParagraph"/>
              <w:spacing w:before="2"/>
              <w:ind w:left="0"/>
              <w:rPr>
                <w:sz w:val="20"/>
              </w:rPr>
            </w:pPr>
          </w:p>
          <w:p w:rsidR="001250E1" w:rsidRDefault="00D56DAA">
            <w:pPr>
              <w:pStyle w:val="TableParagraph"/>
              <w:ind w:right="100"/>
              <w:jc w:val="both"/>
              <w:rPr>
                <w:sz w:val="20"/>
              </w:rPr>
            </w:pPr>
            <w:r>
              <w:rPr>
                <w:sz w:val="20"/>
              </w:rPr>
              <w:t>If the Executive Chairman ceases employment or office with the Company during the holding period, awards made under the 2019 TIP would normally be retained unless the individual leaves due to misconduct.</w:t>
            </w:r>
          </w:p>
          <w:p w:rsidR="001250E1" w:rsidRDefault="001250E1">
            <w:pPr>
              <w:pStyle w:val="TableParagraph"/>
              <w:spacing w:before="11"/>
              <w:ind w:left="0"/>
              <w:rPr>
                <w:sz w:val="19"/>
              </w:rPr>
            </w:pPr>
          </w:p>
          <w:p w:rsidR="001250E1" w:rsidRDefault="00D56DAA">
            <w:pPr>
              <w:pStyle w:val="TableParagraph"/>
              <w:ind w:right="95"/>
              <w:jc w:val="both"/>
              <w:rPr>
                <w:sz w:val="20"/>
              </w:rPr>
            </w:pPr>
            <w:r>
              <w:rPr>
                <w:sz w:val="20"/>
              </w:rPr>
              <w:t>Awards for good leavers will normally vest on the normal vesting date subject to performance</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end</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relevant</w:t>
            </w:r>
            <w:r>
              <w:rPr>
                <w:spacing w:val="-5"/>
                <w:sz w:val="20"/>
              </w:rPr>
              <w:t xml:space="preserve"> </w:t>
            </w:r>
            <w:r>
              <w:rPr>
                <w:sz w:val="20"/>
              </w:rPr>
              <w:t>performance</w:t>
            </w:r>
            <w:r>
              <w:rPr>
                <w:spacing w:val="-5"/>
                <w:sz w:val="20"/>
              </w:rPr>
              <w:t xml:space="preserve"> </w:t>
            </w:r>
            <w:r>
              <w:rPr>
                <w:sz w:val="20"/>
              </w:rPr>
              <w:t>period</w:t>
            </w:r>
            <w:r>
              <w:rPr>
                <w:spacing w:val="-6"/>
                <w:sz w:val="20"/>
              </w:rPr>
              <w:t xml:space="preserve"> </w:t>
            </w:r>
            <w:r>
              <w:rPr>
                <w:sz w:val="20"/>
              </w:rPr>
              <w:t>and</w:t>
            </w:r>
            <w:r>
              <w:rPr>
                <w:spacing w:val="-7"/>
                <w:sz w:val="20"/>
              </w:rPr>
              <w:t xml:space="preserve"> </w:t>
            </w:r>
            <w:r>
              <w:rPr>
                <w:sz w:val="20"/>
              </w:rPr>
              <w:t>time</w:t>
            </w:r>
            <w:r>
              <w:rPr>
                <w:spacing w:val="-5"/>
                <w:sz w:val="20"/>
              </w:rPr>
              <w:t xml:space="preserve"> </w:t>
            </w:r>
            <w:r>
              <w:rPr>
                <w:sz w:val="20"/>
              </w:rPr>
              <w:t>pro-rating</w:t>
            </w:r>
            <w:r>
              <w:rPr>
                <w:spacing w:val="-6"/>
                <w:sz w:val="20"/>
              </w:rPr>
              <w:t xml:space="preserve"> </w:t>
            </w:r>
            <w:r>
              <w:rPr>
                <w:sz w:val="20"/>
              </w:rPr>
              <w:t>(unless</w:t>
            </w:r>
            <w:r>
              <w:rPr>
                <w:spacing w:val="-6"/>
                <w:sz w:val="20"/>
              </w:rPr>
              <w:t xml:space="preserve"> </w:t>
            </w:r>
            <w:r>
              <w:rPr>
                <w:sz w:val="20"/>
              </w:rPr>
              <w:t>the Remuneration</w:t>
            </w:r>
            <w:r>
              <w:rPr>
                <w:spacing w:val="-12"/>
                <w:sz w:val="20"/>
              </w:rPr>
              <w:t xml:space="preserve"> </w:t>
            </w:r>
            <w:r>
              <w:rPr>
                <w:sz w:val="20"/>
              </w:rPr>
              <w:t>Committee</w:t>
            </w:r>
            <w:r>
              <w:rPr>
                <w:spacing w:val="-9"/>
                <w:sz w:val="20"/>
              </w:rPr>
              <w:t xml:space="preserve"> </w:t>
            </w:r>
            <w:r>
              <w:rPr>
                <w:sz w:val="20"/>
              </w:rPr>
              <w:t>decides</w:t>
            </w:r>
            <w:r>
              <w:rPr>
                <w:spacing w:val="-10"/>
                <w:sz w:val="20"/>
              </w:rPr>
              <w:t xml:space="preserve"> </w:t>
            </w:r>
            <w:r>
              <w:rPr>
                <w:sz w:val="20"/>
              </w:rPr>
              <w:t>that</w:t>
            </w:r>
            <w:r>
              <w:rPr>
                <w:spacing w:val="-9"/>
                <w:sz w:val="20"/>
              </w:rPr>
              <w:t xml:space="preserve"> </w:t>
            </w:r>
            <w:r>
              <w:rPr>
                <w:sz w:val="20"/>
              </w:rPr>
              <w:t>awards</w:t>
            </w:r>
            <w:r>
              <w:rPr>
                <w:spacing w:val="-11"/>
                <w:sz w:val="20"/>
              </w:rPr>
              <w:t xml:space="preserve"> </w:t>
            </w:r>
            <w:r>
              <w:rPr>
                <w:sz w:val="20"/>
              </w:rPr>
              <w:t>should</w:t>
            </w:r>
            <w:r>
              <w:rPr>
                <w:spacing w:val="-7"/>
                <w:sz w:val="20"/>
              </w:rPr>
              <w:t xml:space="preserve"> </w:t>
            </w:r>
            <w:r>
              <w:rPr>
                <w:sz w:val="20"/>
              </w:rPr>
              <w:t>vest</w:t>
            </w:r>
            <w:r>
              <w:rPr>
                <w:spacing w:val="-9"/>
                <w:sz w:val="20"/>
              </w:rPr>
              <w:t xml:space="preserve"> </w:t>
            </w:r>
            <w:r>
              <w:rPr>
                <w:sz w:val="20"/>
              </w:rPr>
              <w:t>early</w:t>
            </w:r>
            <w:r>
              <w:rPr>
                <w:spacing w:val="-11"/>
                <w:sz w:val="20"/>
              </w:rPr>
              <w:t xml:space="preserve"> </w:t>
            </w:r>
            <w:r>
              <w:rPr>
                <w:sz w:val="20"/>
              </w:rPr>
              <w:t>and/or</w:t>
            </w:r>
            <w:r>
              <w:rPr>
                <w:spacing w:val="-11"/>
                <w:sz w:val="20"/>
              </w:rPr>
              <w:t xml:space="preserve"> </w:t>
            </w:r>
            <w:r>
              <w:rPr>
                <w:sz w:val="20"/>
              </w:rPr>
              <w:t>that</w:t>
            </w:r>
            <w:r>
              <w:rPr>
                <w:spacing w:val="-9"/>
                <w:sz w:val="20"/>
              </w:rPr>
              <w:t xml:space="preserve"> </w:t>
            </w:r>
            <w:r>
              <w:rPr>
                <w:sz w:val="20"/>
              </w:rPr>
              <w:t>time</w:t>
            </w:r>
            <w:r>
              <w:rPr>
                <w:spacing w:val="-9"/>
                <w:sz w:val="20"/>
              </w:rPr>
              <w:t xml:space="preserve"> </w:t>
            </w:r>
            <w:r>
              <w:rPr>
                <w:sz w:val="20"/>
              </w:rPr>
              <w:t>pro-rating should</w:t>
            </w:r>
            <w:r>
              <w:rPr>
                <w:spacing w:val="-15"/>
                <w:sz w:val="20"/>
              </w:rPr>
              <w:t xml:space="preserve"> </w:t>
            </w:r>
            <w:r>
              <w:rPr>
                <w:sz w:val="20"/>
              </w:rPr>
              <w:t>be</w:t>
            </w:r>
            <w:r>
              <w:rPr>
                <w:spacing w:val="-14"/>
                <w:sz w:val="20"/>
              </w:rPr>
              <w:t xml:space="preserve"> </w:t>
            </w:r>
            <w:r>
              <w:rPr>
                <w:sz w:val="20"/>
              </w:rPr>
              <w:t>disapplied</w:t>
            </w:r>
            <w:r>
              <w:rPr>
                <w:spacing w:val="-14"/>
                <w:sz w:val="20"/>
              </w:rPr>
              <w:t xml:space="preserve"> </w:t>
            </w:r>
            <w:r>
              <w:rPr>
                <w:sz w:val="20"/>
              </w:rPr>
              <w:t>in</w:t>
            </w:r>
            <w:r>
              <w:rPr>
                <w:spacing w:val="-15"/>
                <w:sz w:val="20"/>
              </w:rPr>
              <w:t xml:space="preserve"> </w:t>
            </w:r>
            <w:r>
              <w:rPr>
                <w:sz w:val="20"/>
              </w:rPr>
              <w:t>part</w:t>
            </w:r>
            <w:r>
              <w:rPr>
                <w:spacing w:val="-15"/>
                <w:sz w:val="20"/>
              </w:rPr>
              <w:t xml:space="preserve"> </w:t>
            </w:r>
            <w:r>
              <w:rPr>
                <w:sz w:val="20"/>
              </w:rPr>
              <w:t>or</w:t>
            </w:r>
            <w:r>
              <w:rPr>
                <w:spacing w:val="-14"/>
                <w:sz w:val="20"/>
              </w:rPr>
              <w:t xml:space="preserve"> </w:t>
            </w:r>
            <w:r>
              <w:rPr>
                <w:sz w:val="20"/>
              </w:rPr>
              <w:t>in</w:t>
            </w:r>
            <w:r>
              <w:rPr>
                <w:spacing w:val="-15"/>
                <w:sz w:val="20"/>
              </w:rPr>
              <w:t xml:space="preserve"> </w:t>
            </w:r>
            <w:r>
              <w:rPr>
                <w:sz w:val="20"/>
              </w:rPr>
              <w:t>full).</w:t>
            </w:r>
            <w:r>
              <w:rPr>
                <w:spacing w:val="-15"/>
                <w:sz w:val="20"/>
              </w:rPr>
              <w:t xml:space="preserve"> </w:t>
            </w:r>
            <w:r>
              <w:rPr>
                <w:sz w:val="20"/>
              </w:rPr>
              <w:t>Any</w:t>
            </w:r>
            <w:r>
              <w:rPr>
                <w:spacing w:val="-16"/>
                <w:sz w:val="20"/>
              </w:rPr>
              <w:t xml:space="preserve"> </w:t>
            </w:r>
            <w:r>
              <w:rPr>
                <w:sz w:val="20"/>
              </w:rPr>
              <w:t>post</w:t>
            </w:r>
            <w:r>
              <w:rPr>
                <w:spacing w:val="-14"/>
                <w:sz w:val="20"/>
              </w:rPr>
              <w:t xml:space="preserve"> </w:t>
            </w:r>
            <w:r>
              <w:rPr>
                <w:sz w:val="20"/>
              </w:rPr>
              <w:t>vesting</w:t>
            </w:r>
            <w:r>
              <w:rPr>
                <w:spacing w:val="-12"/>
                <w:sz w:val="20"/>
              </w:rPr>
              <w:t xml:space="preserve"> </w:t>
            </w:r>
            <w:r>
              <w:rPr>
                <w:sz w:val="20"/>
              </w:rPr>
              <w:t>holding</w:t>
            </w:r>
            <w:r>
              <w:rPr>
                <w:spacing w:val="-15"/>
                <w:sz w:val="20"/>
              </w:rPr>
              <w:t xml:space="preserve"> </w:t>
            </w:r>
            <w:r>
              <w:rPr>
                <w:sz w:val="20"/>
              </w:rPr>
              <w:t>period</w:t>
            </w:r>
            <w:r>
              <w:rPr>
                <w:spacing w:val="-14"/>
                <w:sz w:val="20"/>
              </w:rPr>
              <w:t xml:space="preserve"> </w:t>
            </w:r>
            <w:r>
              <w:rPr>
                <w:sz w:val="20"/>
              </w:rPr>
              <w:t>will</w:t>
            </w:r>
            <w:r>
              <w:rPr>
                <w:spacing w:val="-14"/>
                <w:sz w:val="20"/>
              </w:rPr>
              <w:t xml:space="preserve"> </w:t>
            </w:r>
            <w:r>
              <w:rPr>
                <w:sz w:val="20"/>
              </w:rPr>
              <w:t>normally</w:t>
            </w:r>
            <w:r>
              <w:rPr>
                <w:spacing w:val="-15"/>
                <w:sz w:val="20"/>
              </w:rPr>
              <w:t xml:space="preserve"> </w:t>
            </w:r>
            <w:r>
              <w:rPr>
                <w:sz w:val="20"/>
              </w:rPr>
              <w:t>continue to apply post</w:t>
            </w:r>
            <w:r>
              <w:rPr>
                <w:spacing w:val="-1"/>
                <w:sz w:val="20"/>
              </w:rPr>
              <w:t xml:space="preserve"> </w:t>
            </w:r>
            <w:r>
              <w:rPr>
                <w:sz w:val="20"/>
              </w:rPr>
              <w:t>cessation.</w:t>
            </w:r>
          </w:p>
          <w:p w:rsidR="001250E1" w:rsidRDefault="001250E1">
            <w:pPr>
              <w:pStyle w:val="TableParagraph"/>
              <w:spacing w:before="1"/>
              <w:ind w:left="0"/>
              <w:rPr>
                <w:sz w:val="20"/>
              </w:rPr>
            </w:pPr>
          </w:p>
          <w:p w:rsidR="001250E1" w:rsidRDefault="00D56DAA">
            <w:pPr>
              <w:pStyle w:val="TableParagraph"/>
              <w:ind w:right="97"/>
              <w:jc w:val="both"/>
              <w:rPr>
                <w:sz w:val="20"/>
              </w:rPr>
            </w:pPr>
            <w:r>
              <w:rPr>
                <w:sz w:val="20"/>
              </w:rPr>
              <w:t>If</w:t>
            </w:r>
            <w:r>
              <w:rPr>
                <w:spacing w:val="-7"/>
                <w:sz w:val="20"/>
              </w:rPr>
              <w:t xml:space="preserve"> </w:t>
            </w:r>
            <w:r>
              <w:rPr>
                <w:sz w:val="20"/>
              </w:rPr>
              <w:t>the</w:t>
            </w:r>
            <w:r>
              <w:rPr>
                <w:spacing w:val="-5"/>
                <w:sz w:val="20"/>
              </w:rPr>
              <w:t xml:space="preserve"> </w:t>
            </w:r>
            <w:r>
              <w:rPr>
                <w:sz w:val="20"/>
              </w:rPr>
              <w:t>participant</w:t>
            </w:r>
            <w:r>
              <w:rPr>
                <w:spacing w:val="-5"/>
                <w:sz w:val="20"/>
              </w:rPr>
              <w:t xml:space="preserve"> </w:t>
            </w:r>
            <w:r>
              <w:rPr>
                <w:sz w:val="20"/>
              </w:rPr>
              <w:t>dies,</w:t>
            </w:r>
            <w:r>
              <w:rPr>
                <w:spacing w:val="-5"/>
                <w:sz w:val="20"/>
              </w:rPr>
              <w:t xml:space="preserve"> </w:t>
            </w:r>
            <w:r>
              <w:rPr>
                <w:sz w:val="20"/>
              </w:rPr>
              <w:t>awards</w:t>
            </w:r>
            <w:r>
              <w:rPr>
                <w:spacing w:val="-6"/>
                <w:sz w:val="20"/>
              </w:rPr>
              <w:t xml:space="preserve"> </w:t>
            </w:r>
            <w:r>
              <w:rPr>
                <w:sz w:val="20"/>
              </w:rPr>
              <w:t>will</w:t>
            </w:r>
            <w:r>
              <w:rPr>
                <w:spacing w:val="-6"/>
                <w:sz w:val="20"/>
              </w:rPr>
              <w:t xml:space="preserve"> </w:t>
            </w:r>
            <w:r>
              <w:rPr>
                <w:sz w:val="20"/>
              </w:rPr>
              <w:t>normally</w:t>
            </w:r>
            <w:r>
              <w:rPr>
                <w:spacing w:val="-6"/>
                <w:sz w:val="20"/>
              </w:rPr>
              <w:t xml:space="preserve"> </w:t>
            </w:r>
            <w:r>
              <w:rPr>
                <w:sz w:val="20"/>
              </w:rPr>
              <w:t>vest</w:t>
            </w:r>
            <w:r>
              <w:rPr>
                <w:spacing w:val="-5"/>
                <w:sz w:val="20"/>
              </w:rPr>
              <w:t xml:space="preserve"> </w:t>
            </w:r>
            <w:r>
              <w:rPr>
                <w:sz w:val="20"/>
              </w:rPr>
              <w:t>as</w:t>
            </w:r>
            <w:r>
              <w:rPr>
                <w:spacing w:val="-6"/>
                <w:sz w:val="20"/>
              </w:rPr>
              <w:t xml:space="preserve"> </w:t>
            </w:r>
            <w:r>
              <w:rPr>
                <w:sz w:val="20"/>
              </w:rPr>
              <w:t>soon</w:t>
            </w:r>
            <w:r>
              <w:rPr>
                <w:spacing w:val="-6"/>
                <w:sz w:val="20"/>
              </w:rPr>
              <w:t xml:space="preserve"> </w:t>
            </w:r>
            <w:r>
              <w:rPr>
                <w:sz w:val="20"/>
              </w:rPr>
              <w:t>as</w:t>
            </w:r>
            <w:r>
              <w:rPr>
                <w:spacing w:val="-6"/>
                <w:sz w:val="20"/>
              </w:rPr>
              <w:t xml:space="preserve"> </w:t>
            </w:r>
            <w:r>
              <w:rPr>
                <w:sz w:val="20"/>
              </w:rPr>
              <w:t>practical</w:t>
            </w:r>
            <w:r>
              <w:rPr>
                <w:spacing w:val="-6"/>
                <w:sz w:val="20"/>
              </w:rPr>
              <w:t xml:space="preserve"> </w:t>
            </w:r>
            <w:r>
              <w:rPr>
                <w:sz w:val="20"/>
              </w:rPr>
              <w:t>on</w:t>
            </w:r>
            <w:r>
              <w:rPr>
                <w:spacing w:val="-6"/>
                <w:sz w:val="20"/>
              </w:rPr>
              <w:t xml:space="preserve"> </w:t>
            </w:r>
            <w:r>
              <w:rPr>
                <w:sz w:val="20"/>
              </w:rPr>
              <w:t>a</w:t>
            </w:r>
            <w:r>
              <w:rPr>
                <w:spacing w:val="-5"/>
                <w:sz w:val="20"/>
              </w:rPr>
              <w:t xml:space="preserve"> </w:t>
            </w:r>
            <w:r>
              <w:rPr>
                <w:sz w:val="20"/>
              </w:rPr>
              <w:t>time-apportioned basis and subject to the Remuneration Committee’s assessment of the</w:t>
            </w:r>
            <w:r>
              <w:rPr>
                <w:spacing w:val="14"/>
                <w:sz w:val="20"/>
              </w:rPr>
              <w:t xml:space="preserve"> </w:t>
            </w:r>
            <w:r>
              <w:rPr>
                <w:sz w:val="20"/>
              </w:rPr>
              <w:t>performance</w:t>
            </w:r>
          </w:p>
          <w:p w:rsidR="001250E1" w:rsidRDefault="00D56DAA">
            <w:pPr>
              <w:pStyle w:val="TableParagraph"/>
              <w:spacing w:line="230" w:lineRule="exact"/>
              <w:jc w:val="both"/>
              <w:rPr>
                <w:sz w:val="20"/>
              </w:rPr>
            </w:pPr>
            <w:r>
              <w:rPr>
                <w:sz w:val="20"/>
              </w:rPr>
              <w:t>conditions.</w:t>
            </w:r>
          </w:p>
        </w:tc>
      </w:tr>
      <w:tr w:rsidR="001250E1">
        <w:trPr>
          <w:trHeight w:val="482"/>
        </w:trPr>
        <w:tc>
          <w:tcPr>
            <w:tcW w:w="1980" w:type="dxa"/>
          </w:tcPr>
          <w:p w:rsidR="001250E1" w:rsidRDefault="00D56DAA">
            <w:pPr>
              <w:pStyle w:val="TableParagraph"/>
              <w:spacing w:line="233" w:lineRule="exact"/>
              <w:rPr>
                <w:b/>
                <w:sz w:val="20"/>
              </w:rPr>
            </w:pPr>
            <w:r>
              <w:rPr>
                <w:b/>
                <w:sz w:val="20"/>
              </w:rPr>
              <w:t>Pension</w:t>
            </w:r>
          </w:p>
        </w:tc>
        <w:tc>
          <w:tcPr>
            <w:tcW w:w="8220" w:type="dxa"/>
          </w:tcPr>
          <w:p w:rsidR="001250E1" w:rsidRDefault="00D56DAA">
            <w:pPr>
              <w:pStyle w:val="TableParagraph"/>
              <w:spacing w:line="232" w:lineRule="exact"/>
              <w:rPr>
                <w:sz w:val="20"/>
              </w:rPr>
            </w:pPr>
            <w:r>
              <w:rPr>
                <w:sz w:val="20"/>
              </w:rPr>
              <w:t>An Executive Director will be eligible to receive the standard contribution to the defined</w:t>
            </w:r>
          </w:p>
          <w:p w:rsidR="001250E1" w:rsidRDefault="00D56DAA">
            <w:pPr>
              <w:pStyle w:val="TableParagraph"/>
              <w:spacing w:line="230" w:lineRule="exact"/>
              <w:rPr>
                <w:sz w:val="20"/>
              </w:rPr>
            </w:pPr>
            <w:r>
              <w:rPr>
                <w:sz w:val="20"/>
              </w:rPr>
              <w:t>contribution pension plan, or cash equivalent, during the notice period, where relevant.</w:t>
            </w:r>
          </w:p>
        </w:tc>
      </w:tr>
      <w:tr w:rsidR="001250E1">
        <w:trPr>
          <w:trHeight w:val="601"/>
        </w:trPr>
        <w:tc>
          <w:tcPr>
            <w:tcW w:w="1980" w:type="dxa"/>
          </w:tcPr>
          <w:p w:rsidR="001250E1" w:rsidRDefault="00D56DAA">
            <w:pPr>
              <w:pStyle w:val="TableParagraph"/>
              <w:ind w:right="281"/>
              <w:rPr>
                <w:b/>
                <w:sz w:val="20"/>
              </w:rPr>
            </w:pPr>
            <w:proofErr w:type="spellStart"/>
            <w:r>
              <w:rPr>
                <w:b/>
                <w:w w:val="95"/>
                <w:sz w:val="20"/>
              </w:rPr>
              <w:t>Sharesave</w:t>
            </w:r>
            <w:proofErr w:type="spellEnd"/>
            <w:r>
              <w:rPr>
                <w:b/>
                <w:w w:val="95"/>
                <w:sz w:val="20"/>
              </w:rPr>
              <w:t xml:space="preserve"> </w:t>
            </w:r>
            <w:r>
              <w:rPr>
                <w:b/>
                <w:sz w:val="20"/>
              </w:rPr>
              <w:t>Scheme</w:t>
            </w:r>
          </w:p>
        </w:tc>
        <w:tc>
          <w:tcPr>
            <w:tcW w:w="8220" w:type="dxa"/>
          </w:tcPr>
          <w:p w:rsidR="001250E1" w:rsidRDefault="00D56DAA">
            <w:pPr>
              <w:pStyle w:val="TableParagraph"/>
              <w:spacing w:line="233" w:lineRule="exact"/>
              <w:rPr>
                <w:sz w:val="20"/>
              </w:rPr>
            </w:pPr>
            <w:r>
              <w:rPr>
                <w:sz w:val="20"/>
              </w:rPr>
              <w:t xml:space="preserve">Leavers will be treated in accordance with the rules of the approved </w:t>
            </w:r>
            <w:proofErr w:type="spellStart"/>
            <w:r>
              <w:rPr>
                <w:sz w:val="20"/>
              </w:rPr>
              <w:t>Sharesave</w:t>
            </w:r>
            <w:proofErr w:type="spellEnd"/>
            <w:r>
              <w:rPr>
                <w:sz w:val="20"/>
              </w:rPr>
              <w:t xml:space="preserve"> Scheme.</w:t>
            </w:r>
          </w:p>
        </w:tc>
      </w:tr>
      <w:tr w:rsidR="001250E1">
        <w:trPr>
          <w:trHeight w:val="484"/>
        </w:trPr>
        <w:tc>
          <w:tcPr>
            <w:tcW w:w="1980" w:type="dxa"/>
          </w:tcPr>
          <w:p w:rsidR="001250E1" w:rsidRDefault="00D56DAA">
            <w:pPr>
              <w:pStyle w:val="TableParagraph"/>
              <w:spacing w:line="235" w:lineRule="exact"/>
              <w:rPr>
                <w:b/>
                <w:sz w:val="20"/>
              </w:rPr>
            </w:pPr>
            <w:r>
              <w:rPr>
                <w:b/>
                <w:sz w:val="20"/>
              </w:rPr>
              <w:t>Benefits</w:t>
            </w:r>
          </w:p>
        </w:tc>
        <w:tc>
          <w:tcPr>
            <w:tcW w:w="8220" w:type="dxa"/>
          </w:tcPr>
          <w:p w:rsidR="001250E1" w:rsidRDefault="00D56DAA">
            <w:pPr>
              <w:pStyle w:val="TableParagraph"/>
              <w:spacing w:line="233" w:lineRule="exact"/>
              <w:rPr>
                <w:sz w:val="20"/>
              </w:rPr>
            </w:pPr>
            <w:r>
              <w:rPr>
                <w:sz w:val="20"/>
              </w:rPr>
              <w:t xml:space="preserve">The Company may </w:t>
            </w:r>
            <w:proofErr w:type="gramStart"/>
            <w:r>
              <w:rPr>
                <w:sz w:val="20"/>
              </w:rPr>
              <w:t>make a contribution</w:t>
            </w:r>
            <w:proofErr w:type="gramEnd"/>
            <w:r>
              <w:rPr>
                <w:sz w:val="20"/>
              </w:rPr>
              <w:t xml:space="preserve"> towards reasonable legal fees incurred in relation</w:t>
            </w:r>
          </w:p>
          <w:p w:rsidR="001250E1" w:rsidRDefault="00D56DAA">
            <w:pPr>
              <w:pStyle w:val="TableParagraph"/>
              <w:spacing w:before="1" w:line="230" w:lineRule="exact"/>
              <w:rPr>
                <w:sz w:val="20"/>
              </w:rPr>
            </w:pPr>
            <w:r>
              <w:rPr>
                <w:sz w:val="20"/>
              </w:rPr>
              <w:t>to any agreement to cease employment.</w:t>
            </w:r>
          </w:p>
        </w:tc>
      </w:tr>
      <w:tr w:rsidR="001250E1">
        <w:trPr>
          <w:trHeight w:val="1086"/>
        </w:trPr>
        <w:tc>
          <w:tcPr>
            <w:tcW w:w="1980" w:type="dxa"/>
          </w:tcPr>
          <w:p w:rsidR="001250E1" w:rsidRDefault="00D56DAA">
            <w:pPr>
              <w:pStyle w:val="TableParagraph"/>
              <w:ind w:right="281"/>
              <w:rPr>
                <w:b/>
                <w:sz w:val="20"/>
              </w:rPr>
            </w:pPr>
            <w:r>
              <w:rPr>
                <w:b/>
                <w:sz w:val="20"/>
              </w:rPr>
              <w:t>Buyout awards and additional recruitment awards</w:t>
            </w:r>
          </w:p>
        </w:tc>
        <w:tc>
          <w:tcPr>
            <w:tcW w:w="8220" w:type="dxa"/>
          </w:tcPr>
          <w:p w:rsidR="001250E1" w:rsidRDefault="00D56DAA">
            <w:pPr>
              <w:pStyle w:val="TableParagraph"/>
              <w:spacing w:line="237" w:lineRule="auto"/>
              <w:ind w:right="11"/>
              <w:rPr>
                <w:sz w:val="20"/>
              </w:rPr>
            </w:pPr>
            <w:r>
              <w:rPr>
                <w:sz w:val="20"/>
              </w:rPr>
              <w:t>The Remuneration Committee should determine the leaving terms for any such award at the time of grant.</w:t>
            </w:r>
          </w:p>
        </w:tc>
      </w:tr>
    </w:tbl>
    <w:p w:rsidR="001250E1" w:rsidRDefault="001250E1">
      <w:pPr>
        <w:pStyle w:val="BodyText"/>
        <w:spacing w:before="11"/>
      </w:pPr>
    </w:p>
    <w:p w:rsidR="001250E1" w:rsidRDefault="00D56DAA">
      <w:pPr>
        <w:pStyle w:val="BodyText"/>
        <w:spacing w:before="99"/>
        <w:ind w:left="112" w:right="124"/>
        <w:jc w:val="both"/>
      </w:pPr>
      <w:r>
        <w:t>The Remuneration Committee reserves the right to make any other payments in connection with an Executive Director’s cessation of office or employment where the payments are made in good faith in discharge of an existing legal obligation (or by way of damages for breach of such an obligation) or by way of a compromise or settlement of any claim arising in connection with the cessation of an Executive Director’s office or employment. Any such payments</w:t>
      </w:r>
      <w:r>
        <w:rPr>
          <w:spacing w:val="-13"/>
        </w:rPr>
        <w:t xml:space="preserve"> </w:t>
      </w:r>
      <w:r>
        <w:t>may</w:t>
      </w:r>
      <w:r>
        <w:rPr>
          <w:spacing w:val="-11"/>
        </w:rPr>
        <w:t xml:space="preserve"> </w:t>
      </w:r>
      <w:r>
        <w:t>include,</w:t>
      </w:r>
      <w:r>
        <w:rPr>
          <w:spacing w:val="-10"/>
        </w:rPr>
        <w:t xml:space="preserve"> </w:t>
      </w:r>
      <w:r>
        <w:t>but</w:t>
      </w:r>
      <w:r>
        <w:rPr>
          <w:spacing w:val="-8"/>
        </w:rPr>
        <w:t xml:space="preserve"> </w:t>
      </w:r>
      <w:r>
        <w:t>are</w:t>
      </w:r>
      <w:r>
        <w:rPr>
          <w:spacing w:val="-11"/>
        </w:rPr>
        <w:t xml:space="preserve"> </w:t>
      </w:r>
      <w:r>
        <w:t>not</w:t>
      </w:r>
      <w:r>
        <w:rPr>
          <w:spacing w:val="-12"/>
        </w:rPr>
        <w:t xml:space="preserve"> </w:t>
      </w:r>
      <w:r>
        <w:t>limited</w:t>
      </w:r>
      <w:r>
        <w:rPr>
          <w:spacing w:val="-12"/>
        </w:rPr>
        <w:t xml:space="preserve"> </w:t>
      </w:r>
      <w:r>
        <w:t>to,</w:t>
      </w:r>
      <w:r>
        <w:rPr>
          <w:spacing w:val="-14"/>
        </w:rPr>
        <w:t xml:space="preserve"> </w:t>
      </w:r>
      <w:r>
        <w:t>amounts</w:t>
      </w:r>
      <w:r>
        <w:rPr>
          <w:spacing w:val="-10"/>
        </w:rPr>
        <w:t xml:space="preserve"> </w:t>
      </w:r>
      <w:r>
        <w:t>in</w:t>
      </w:r>
      <w:r>
        <w:rPr>
          <w:spacing w:val="-13"/>
        </w:rPr>
        <w:t xml:space="preserve"> </w:t>
      </w:r>
      <w:r>
        <w:t>respect</w:t>
      </w:r>
      <w:r>
        <w:rPr>
          <w:spacing w:val="-9"/>
        </w:rPr>
        <w:t xml:space="preserve"> </w:t>
      </w:r>
      <w:r>
        <w:t>of</w:t>
      </w:r>
      <w:r>
        <w:rPr>
          <w:spacing w:val="-12"/>
        </w:rPr>
        <w:t xml:space="preserve"> </w:t>
      </w:r>
      <w:r>
        <w:t>accrued</w:t>
      </w:r>
      <w:r>
        <w:rPr>
          <w:spacing w:val="-12"/>
        </w:rPr>
        <w:t xml:space="preserve"> </w:t>
      </w:r>
      <w:r>
        <w:t>leave,</w:t>
      </w:r>
      <w:r>
        <w:rPr>
          <w:spacing w:val="-10"/>
        </w:rPr>
        <w:t xml:space="preserve"> </w:t>
      </w:r>
      <w:r>
        <w:t>paying</w:t>
      </w:r>
      <w:r>
        <w:rPr>
          <w:spacing w:val="-12"/>
        </w:rPr>
        <w:t xml:space="preserve"> </w:t>
      </w:r>
      <w:r>
        <w:t>any</w:t>
      </w:r>
      <w:r>
        <w:rPr>
          <w:spacing w:val="-12"/>
        </w:rPr>
        <w:t xml:space="preserve"> </w:t>
      </w:r>
      <w:r>
        <w:t>fees</w:t>
      </w:r>
      <w:r>
        <w:rPr>
          <w:spacing w:val="-10"/>
        </w:rPr>
        <w:t xml:space="preserve"> </w:t>
      </w:r>
      <w:r>
        <w:t>for</w:t>
      </w:r>
      <w:r>
        <w:rPr>
          <w:spacing w:val="-9"/>
        </w:rPr>
        <w:t xml:space="preserve"> </w:t>
      </w:r>
      <w:r>
        <w:t>outplacement assistance and/or the Executive Director’s legal or professional advice fees in connection with his cessation of office or</w:t>
      </w:r>
      <w:r>
        <w:rPr>
          <w:spacing w:val="-1"/>
        </w:rPr>
        <w:t xml:space="preserve"> </w:t>
      </w:r>
      <w:r>
        <w:t>employment.</w:t>
      </w:r>
    </w:p>
    <w:p w:rsidR="001250E1" w:rsidRDefault="00D56DAA">
      <w:pPr>
        <w:pStyle w:val="BodyText"/>
        <w:spacing w:before="120"/>
        <w:ind w:left="112" w:right="124"/>
        <w:jc w:val="both"/>
      </w:pPr>
      <w:r>
        <w:t xml:space="preserve">In the event of a change of control, the Remuneration Committee may determine the extent to which any annual bonus should be </w:t>
      </w:r>
      <w:proofErr w:type="gramStart"/>
      <w:r>
        <w:t>payable</w:t>
      </w:r>
      <w:proofErr w:type="gramEnd"/>
      <w:r>
        <w:t xml:space="preserve"> and awards made under the 2019 LTIP and 2019 TIP may vest, taking into account performance conditions and time pro-rating (unless the Remuneration Committee decides to disapply time pro- rating).</w:t>
      </w:r>
    </w:p>
    <w:p w:rsidR="001250E1" w:rsidRDefault="001250E1">
      <w:pPr>
        <w:jc w:val="both"/>
        <w:sectPr w:rsidR="001250E1" w:rsidSect="003D5C08">
          <w:pgSz w:w="11910" w:h="16840"/>
          <w:pgMar w:top="993" w:right="560" w:bottom="280" w:left="900" w:header="720" w:footer="720" w:gutter="0"/>
          <w:cols w:space="720"/>
        </w:sectPr>
      </w:pPr>
    </w:p>
    <w:p w:rsidR="001250E1" w:rsidRDefault="00D56DAA">
      <w:pPr>
        <w:pStyle w:val="Heading1"/>
        <w:numPr>
          <w:ilvl w:val="0"/>
          <w:numId w:val="4"/>
        </w:numPr>
        <w:tabs>
          <w:tab w:val="left" w:pos="539"/>
          <w:tab w:val="left" w:pos="541"/>
        </w:tabs>
        <w:spacing w:before="72"/>
      </w:pPr>
      <w:bookmarkStart w:id="5" w:name="5._Illustrations_of_Remuneration_Policy"/>
      <w:bookmarkEnd w:id="5"/>
      <w:r>
        <w:lastRenderedPageBreak/>
        <w:t>Illustrations of Remuneration</w:t>
      </w:r>
      <w:r>
        <w:rPr>
          <w:spacing w:val="1"/>
        </w:rPr>
        <w:t xml:space="preserve"> </w:t>
      </w:r>
      <w:r>
        <w:t>Policy</w:t>
      </w:r>
    </w:p>
    <w:p w:rsidR="001250E1" w:rsidRDefault="00D56DAA">
      <w:pPr>
        <w:pStyle w:val="BodyText"/>
        <w:spacing w:before="58"/>
        <w:ind w:left="112"/>
      </w:pPr>
      <w:r>
        <w:t>The charts below illustrate how the composition of the remuneration packages for the Executive Directors vary at four performance levels, namely: fixed pay, target, maximum and maximum plus share price growth.</w:t>
      </w:r>
    </w:p>
    <w:p w:rsidR="001250E1" w:rsidRDefault="001250E1">
      <w:pPr>
        <w:pStyle w:val="BodyText"/>
      </w:pPr>
    </w:p>
    <w:p w:rsidR="001250E1" w:rsidRDefault="00D56DAA">
      <w:pPr>
        <w:pStyle w:val="BodyText"/>
        <w:spacing w:before="2"/>
      </w:pPr>
      <w:r>
        <w:rPr>
          <w:noProof/>
        </w:rPr>
        <w:drawing>
          <wp:anchor distT="0" distB="0" distL="0" distR="0" simplePos="0" relativeHeight="268420599" behindDoc="0" locked="0" layoutInCell="1" allowOverlap="1">
            <wp:simplePos x="0" y="0"/>
            <wp:positionH relativeFrom="page">
              <wp:posOffset>680754</wp:posOffset>
            </wp:positionH>
            <wp:positionV relativeFrom="paragraph">
              <wp:posOffset>179774</wp:posOffset>
            </wp:positionV>
            <wp:extent cx="4493388" cy="298427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4493388" cy="2984277"/>
                    </a:xfrm>
                    <a:prstGeom prst="rect">
                      <a:avLst/>
                    </a:prstGeom>
                  </pic:spPr>
                </pic:pic>
              </a:graphicData>
            </a:graphic>
          </wp:anchor>
        </w:drawing>
      </w:r>
    </w:p>
    <w:p w:rsidR="001250E1" w:rsidRDefault="001250E1">
      <w:pPr>
        <w:pStyle w:val="BodyText"/>
      </w:pPr>
    </w:p>
    <w:p w:rsidR="001250E1" w:rsidRDefault="001250E1">
      <w:pPr>
        <w:pStyle w:val="BodyText"/>
        <w:spacing w:before="10"/>
        <w:rPr>
          <w:sz w:val="2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911"/>
        <w:gridCol w:w="344"/>
        <w:gridCol w:w="580"/>
        <w:gridCol w:w="747"/>
        <w:gridCol w:w="866"/>
        <w:gridCol w:w="522"/>
        <w:gridCol w:w="4224"/>
      </w:tblGrid>
      <w:tr w:rsidR="001250E1">
        <w:trPr>
          <w:trHeight w:val="484"/>
        </w:trPr>
        <w:tc>
          <w:tcPr>
            <w:tcW w:w="1987" w:type="dxa"/>
          </w:tcPr>
          <w:p w:rsidR="001250E1" w:rsidRDefault="001250E1">
            <w:pPr>
              <w:pStyle w:val="TableParagraph"/>
              <w:ind w:left="0"/>
              <w:rPr>
                <w:rFonts w:ascii="Times New Roman"/>
                <w:sz w:val="18"/>
              </w:rPr>
            </w:pPr>
          </w:p>
        </w:tc>
        <w:tc>
          <w:tcPr>
            <w:tcW w:w="3970" w:type="dxa"/>
            <w:gridSpan w:val="6"/>
          </w:tcPr>
          <w:p w:rsidR="001250E1" w:rsidRDefault="00D56DAA">
            <w:pPr>
              <w:pStyle w:val="TableParagraph"/>
              <w:spacing w:before="1" w:line="240" w:lineRule="atLeast"/>
              <w:ind w:left="108"/>
              <w:rPr>
                <w:b/>
                <w:sz w:val="20"/>
              </w:rPr>
            </w:pPr>
            <w:r>
              <w:rPr>
                <w:b/>
                <w:sz w:val="20"/>
              </w:rPr>
              <w:t>Chief Executive and Corporate Affairs Director &amp; Group Company Secretary</w:t>
            </w:r>
          </w:p>
        </w:tc>
        <w:tc>
          <w:tcPr>
            <w:tcW w:w="4224" w:type="dxa"/>
          </w:tcPr>
          <w:p w:rsidR="001250E1" w:rsidRDefault="00D56DAA">
            <w:pPr>
              <w:pStyle w:val="TableParagraph"/>
              <w:spacing w:before="1"/>
              <w:ind w:left="1110"/>
              <w:rPr>
                <w:b/>
                <w:sz w:val="20"/>
              </w:rPr>
            </w:pPr>
            <w:r>
              <w:rPr>
                <w:b/>
                <w:sz w:val="20"/>
              </w:rPr>
              <w:t>Executive Chairman</w:t>
            </w:r>
          </w:p>
        </w:tc>
      </w:tr>
      <w:tr w:rsidR="001250E1">
        <w:trPr>
          <w:trHeight w:val="482"/>
        </w:trPr>
        <w:tc>
          <w:tcPr>
            <w:tcW w:w="1987" w:type="dxa"/>
          </w:tcPr>
          <w:p w:rsidR="001250E1" w:rsidRDefault="00D56DAA">
            <w:pPr>
              <w:pStyle w:val="TableParagraph"/>
              <w:spacing w:line="240" w:lineRule="exact"/>
              <w:rPr>
                <w:sz w:val="20"/>
              </w:rPr>
            </w:pPr>
            <w:r>
              <w:rPr>
                <w:sz w:val="20"/>
              </w:rPr>
              <w:t>Fixed Pay</w:t>
            </w:r>
          </w:p>
        </w:tc>
        <w:tc>
          <w:tcPr>
            <w:tcW w:w="911" w:type="dxa"/>
            <w:tcBorders>
              <w:right w:val="nil"/>
            </w:tcBorders>
          </w:tcPr>
          <w:p w:rsidR="001250E1" w:rsidRDefault="00D56DAA">
            <w:pPr>
              <w:pStyle w:val="TableParagraph"/>
              <w:spacing w:before="5" w:line="242" w:lineRule="exact"/>
              <w:ind w:left="108"/>
              <w:rPr>
                <w:sz w:val="20"/>
              </w:rPr>
            </w:pPr>
            <w:r>
              <w:rPr>
                <w:w w:val="95"/>
                <w:sz w:val="20"/>
              </w:rPr>
              <w:t xml:space="preserve">Consists </w:t>
            </w:r>
            <w:r>
              <w:rPr>
                <w:sz w:val="20"/>
              </w:rPr>
              <w:t>pension</w:t>
            </w:r>
          </w:p>
        </w:tc>
        <w:tc>
          <w:tcPr>
            <w:tcW w:w="344" w:type="dxa"/>
            <w:tcBorders>
              <w:left w:val="nil"/>
              <w:right w:val="nil"/>
            </w:tcBorders>
          </w:tcPr>
          <w:p w:rsidR="001250E1" w:rsidRDefault="00D56DAA">
            <w:pPr>
              <w:pStyle w:val="TableParagraph"/>
              <w:spacing w:line="240" w:lineRule="exact"/>
              <w:ind w:left="89"/>
              <w:rPr>
                <w:sz w:val="20"/>
              </w:rPr>
            </w:pPr>
            <w:r>
              <w:rPr>
                <w:sz w:val="20"/>
              </w:rPr>
              <w:t>of</w:t>
            </w:r>
          </w:p>
        </w:tc>
        <w:tc>
          <w:tcPr>
            <w:tcW w:w="580" w:type="dxa"/>
            <w:tcBorders>
              <w:left w:val="nil"/>
              <w:right w:val="nil"/>
            </w:tcBorders>
          </w:tcPr>
          <w:p w:rsidR="001250E1" w:rsidRDefault="00D56DAA">
            <w:pPr>
              <w:pStyle w:val="TableParagraph"/>
              <w:spacing w:line="240" w:lineRule="exact"/>
              <w:ind w:left="89"/>
              <w:rPr>
                <w:sz w:val="20"/>
              </w:rPr>
            </w:pPr>
            <w:r>
              <w:rPr>
                <w:sz w:val="20"/>
              </w:rPr>
              <w:t>base</w:t>
            </w:r>
          </w:p>
        </w:tc>
        <w:tc>
          <w:tcPr>
            <w:tcW w:w="747" w:type="dxa"/>
            <w:tcBorders>
              <w:left w:val="nil"/>
              <w:right w:val="nil"/>
            </w:tcBorders>
          </w:tcPr>
          <w:p w:rsidR="001250E1" w:rsidRDefault="00D56DAA">
            <w:pPr>
              <w:pStyle w:val="TableParagraph"/>
              <w:spacing w:line="240" w:lineRule="exact"/>
              <w:ind w:left="89"/>
              <w:rPr>
                <w:sz w:val="20"/>
              </w:rPr>
            </w:pPr>
            <w:r>
              <w:rPr>
                <w:sz w:val="20"/>
              </w:rPr>
              <w:t>salary,</w:t>
            </w:r>
          </w:p>
        </w:tc>
        <w:tc>
          <w:tcPr>
            <w:tcW w:w="866" w:type="dxa"/>
            <w:tcBorders>
              <w:left w:val="nil"/>
              <w:right w:val="nil"/>
            </w:tcBorders>
          </w:tcPr>
          <w:p w:rsidR="001250E1" w:rsidRDefault="00D56DAA">
            <w:pPr>
              <w:pStyle w:val="TableParagraph"/>
              <w:spacing w:line="240" w:lineRule="exact"/>
              <w:ind w:left="89"/>
              <w:rPr>
                <w:sz w:val="20"/>
              </w:rPr>
            </w:pPr>
            <w:r>
              <w:rPr>
                <w:sz w:val="20"/>
              </w:rPr>
              <w:t>benefits</w:t>
            </w:r>
          </w:p>
        </w:tc>
        <w:tc>
          <w:tcPr>
            <w:tcW w:w="522" w:type="dxa"/>
            <w:tcBorders>
              <w:left w:val="nil"/>
            </w:tcBorders>
          </w:tcPr>
          <w:p w:rsidR="001250E1" w:rsidRDefault="00D56DAA">
            <w:pPr>
              <w:pStyle w:val="TableParagraph"/>
              <w:spacing w:line="240" w:lineRule="exact"/>
              <w:ind w:left="89"/>
              <w:rPr>
                <w:sz w:val="20"/>
              </w:rPr>
            </w:pPr>
            <w:r>
              <w:rPr>
                <w:sz w:val="20"/>
              </w:rPr>
              <w:t>and</w:t>
            </w:r>
          </w:p>
        </w:tc>
        <w:tc>
          <w:tcPr>
            <w:tcW w:w="4224" w:type="dxa"/>
          </w:tcPr>
          <w:p w:rsidR="001250E1" w:rsidRDefault="00D56DAA">
            <w:pPr>
              <w:pStyle w:val="TableParagraph"/>
              <w:spacing w:line="240" w:lineRule="exact"/>
              <w:rPr>
                <w:sz w:val="20"/>
              </w:rPr>
            </w:pPr>
            <w:r>
              <w:rPr>
                <w:sz w:val="20"/>
              </w:rPr>
              <w:t>Consists of base salary only</w:t>
            </w:r>
          </w:p>
        </w:tc>
      </w:tr>
      <w:tr w:rsidR="001250E1">
        <w:trPr>
          <w:trHeight w:val="717"/>
        </w:trPr>
        <w:tc>
          <w:tcPr>
            <w:tcW w:w="1987" w:type="dxa"/>
          </w:tcPr>
          <w:p w:rsidR="001250E1" w:rsidRDefault="00D56DAA">
            <w:pPr>
              <w:pStyle w:val="TableParagraph"/>
              <w:spacing w:line="236" w:lineRule="exact"/>
              <w:rPr>
                <w:sz w:val="20"/>
              </w:rPr>
            </w:pPr>
            <w:r>
              <w:rPr>
                <w:sz w:val="20"/>
              </w:rPr>
              <w:t>Target</w:t>
            </w:r>
          </w:p>
        </w:tc>
        <w:tc>
          <w:tcPr>
            <w:tcW w:w="3970" w:type="dxa"/>
            <w:gridSpan w:val="6"/>
          </w:tcPr>
          <w:p w:rsidR="001250E1" w:rsidRDefault="00D56DAA">
            <w:pPr>
              <w:pStyle w:val="TableParagraph"/>
              <w:spacing w:line="237" w:lineRule="auto"/>
              <w:ind w:left="108" w:right="95"/>
              <w:rPr>
                <w:sz w:val="20"/>
              </w:rPr>
            </w:pPr>
            <w:r>
              <w:rPr>
                <w:sz w:val="20"/>
              </w:rPr>
              <w:t>Fixed</w:t>
            </w:r>
            <w:r>
              <w:rPr>
                <w:spacing w:val="-15"/>
                <w:sz w:val="20"/>
              </w:rPr>
              <w:t xml:space="preserve"> </w:t>
            </w:r>
            <w:r>
              <w:rPr>
                <w:sz w:val="20"/>
              </w:rPr>
              <w:t>Pay</w:t>
            </w:r>
            <w:r>
              <w:rPr>
                <w:spacing w:val="-16"/>
                <w:sz w:val="20"/>
              </w:rPr>
              <w:t xml:space="preserve"> </w:t>
            </w:r>
            <w:r>
              <w:rPr>
                <w:sz w:val="20"/>
              </w:rPr>
              <w:t>plus</w:t>
            </w:r>
            <w:r>
              <w:rPr>
                <w:spacing w:val="-13"/>
                <w:sz w:val="20"/>
              </w:rPr>
              <w:t xml:space="preserve"> </w:t>
            </w:r>
            <w:r>
              <w:rPr>
                <w:sz w:val="20"/>
              </w:rPr>
              <w:t>50%</w:t>
            </w:r>
            <w:r>
              <w:rPr>
                <w:spacing w:val="-16"/>
                <w:sz w:val="20"/>
              </w:rPr>
              <w:t xml:space="preserve"> </w:t>
            </w:r>
            <w:r>
              <w:rPr>
                <w:sz w:val="20"/>
              </w:rPr>
              <w:t>of</w:t>
            </w:r>
            <w:r>
              <w:rPr>
                <w:spacing w:val="-17"/>
                <w:sz w:val="20"/>
              </w:rPr>
              <w:t xml:space="preserve"> </w:t>
            </w:r>
            <w:r>
              <w:rPr>
                <w:sz w:val="20"/>
              </w:rPr>
              <w:t>the</w:t>
            </w:r>
            <w:r>
              <w:rPr>
                <w:spacing w:val="-12"/>
                <w:sz w:val="20"/>
              </w:rPr>
              <w:t xml:space="preserve"> </w:t>
            </w:r>
            <w:r>
              <w:rPr>
                <w:sz w:val="20"/>
              </w:rPr>
              <w:t>maximum</w:t>
            </w:r>
            <w:r>
              <w:rPr>
                <w:spacing w:val="-15"/>
                <w:sz w:val="20"/>
              </w:rPr>
              <w:t xml:space="preserve"> </w:t>
            </w:r>
            <w:r>
              <w:rPr>
                <w:sz w:val="20"/>
              </w:rPr>
              <w:t>bonus plus 50% of the maximum 2019</w:t>
            </w:r>
            <w:r>
              <w:rPr>
                <w:spacing w:val="60"/>
                <w:sz w:val="20"/>
              </w:rPr>
              <w:t xml:space="preserve"> </w:t>
            </w:r>
            <w:r>
              <w:rPr>
                <w:sz w:val="20"/>
              </w:rPr>
              <w:t>LTIP</w:t>
            </w:r>
          </w:p>
          <w:p w:rsidR="001250E1" w:rsidRDefault="00D56DAA">
            <w:pPr>
              <w:pStyle w:val="TableParagraph"/>
              <w:spacing w:line="221" w:lineRule="exact"/>
              <w:ind w:left="108"/>
              <w:rPr>
                <w:sz w:val="20"/>
              </w:rPr>
            </w:pPr>
            <w:r>
              <w:rPr>
                <w:sz w:val="20"/>
              </w:rPr>
              <w:t>award</w:t>
            </w:r>
          </w:p>
        </w:tc>
        <w:tc>
          <w:tcPr>
            <w:tcW w:w="4224" w:type="dxa"/>
          </w:tcPr>
          <w:p w:rsidR="001250E1" w:rsidRDefault="00D56DAA">
            <w:pPr>
              <w:pStyle w:val="TableParagraph"/>
              <w:spacing w:line="237" w:lineRule="auto"/>
              <w:ind w:right="92"/>
              <w:rPr>
                <w:sz w:val="20"/>
              </w:rPr>
            </w:pPr>
            <w:r>
              <w:rPr>
                <w:sz w:val="20"/>
              </w:rPr>
              <w:t>Fixed</w:t>
            </w:r>
            <w:r>
              <w:rPr>
                <w:spacing w:val="-15"/>
                <w:sz w:val="20"/>
              </w:rPr>
              <w:t xml:space="preserve"> </w:t>
            </w:r>
            <w:r>
              <w:rPr>
                <w:sz w:val="20"/>
              </w:rPr>
              <w:t>Pay</w:t>
            </w:r>
            <w:r>
              <w:rPr>
                <w:spacing w:val="-16"/>
                <w:sz w:val="20"/>
              </w:rPr>
              <w:t xml:space="preserve"> </w:t>
            </w:r>
            <w:r>
              <w:rPr>
                <w:sz w:val="20"/>
              </w:rPr>
              <w:t>plus</w:t>
            </w:r>
            <w:r>
              <w:rPr>
                <w:spacing w:val="-12"/>
                <w:sz w:val="20"/>
              </w:rPr>
              <w:t xml:space="preserve"> </w:t>
            </w:r>
            <w:r>
              <w:rPr>
                <w:sz w:val="20"/>
              </w:rPr>
              <w:t>50%</w:t>
            </w:r>
            <w:r>
              <w:rPr>
                <w:spacing w:val="-16"/>
                <w:sz w:val="20"/>
              </w:rPr>
              <w:t xml:space="preserve"> </w:t>
            </w:r>
            <w:r>
              <w:rPr>
                <w:sz w:val="20"/>
              </w:rPr>
              <w:t>of</w:t>
            </w:r>
            <w:r>
              <w:rPr>
                <w:spacing w:val="-17"/>
                <w:sz w:val="20"/>
              </w:rPr>
              <w:t xml:space="preserve"> </w:t>
            </w:r>
            <w:r>
              <w:rPr>
                <w:sz w:val="20"/>
              </w:rPr>
              <w:t>the</w:t>
            </w:r>
            <w:r>
              <w:rPr>
                <w:spacing w:val="-11"/>
                <w:sz w:val="20"/>
              </w:rPr>
              <w:t xml:space="preserve"> </w:t>
            </w:r>
            <w:r>
              <w:rPr>
                <w:sz w:val="20"/>
              </w:rPr>
              <w:t>maximum</w:t>
            </w:r>
            <w:r>
              <w:rPr>
                <w:spacing w:val="-14"/>
                <w:sz w:val="20"/>
              </w:rPr>
              <w:t xml:space="preserve"> </w:t>
            </w:r>
            <w:r>
              <w:rPr>
                <w:sz w:val="20"/>
              </w:rPr>
              <w:t>2019</w:t>
            </w:r>
            <w:r>
              <w:rPr>
                <w:spacing w:val="-14"/>
                <w:sz w:val="20"/>
              </w:rPr>
              <w:t xml:space="preserve"> </w:t>
            </w:r>
            <w:r>
              <w:rPr>
                <w:sz w:val="20"/>
              </w:rPr>
              <w:t>TIP award</w:t>
            </w:r>
          </w:p>
        </w:tc>
      </w:tr>
      <w:tr w:rsidR="001250E1">
        <w:trPr>
          <w:trHeight w:val="964"/>
        </w:trPr>
        <w:tc>
          <w:tcPr>
            <w:tcW w:w="1987" w:type="dxa"/>
          </w:tcPr>
          <w:p w:rsidR="001250E1" w:rsidRDefault="00D56DAA">
            <w:pPr>
              <w:pStyle w:val="TableParagraph"/>
              <w:spacing w:before="1"/>
              <w:rPr>
                <w:sz w:val="20"/>
              </w:rPr>
            </w:pPr>
            <w:r>
              <w:rPr>
                <w:sz w:val="20"/>
              </w:rPr>
              <w:t>Maximum</w:t>
            </w:r>
          </w:p>
        </w:tc>
        <w:tc>
          <w:tcPr>
            <w:tcW w:w="3970" w:type="dxa"/>
            <w:gridSpan w:val="6"/>
          </w:tcPr>
          <w:p w:rsidR="001250E1" w:rsidRDefault="00D56DAA">
            <w:pPr>
              <w:pStyle w:val="TableParagraph"/>
              <w:spacing w:before="1"/>
              <w:ind w:left="108"/>
              <w:rPr>
                <w:sz w:val="20"/>
              </w:rPr>
            </w:pPr>
            <w:r>
              <w:rPr>
                <w:sz w:val="20"/>
              </w:rPr>
              <w:t>Fixed Pay plus 100% of maximum bonus (100% of salary) and the face value of the</w:t>
            </w:r>
          </w:p>
          <w:p w:rsidR="001250E1" w:rsidRDefault="00D56DAA">
            <w:pPr>
              <w:pStyle w:val="TableParagraph"/>
              <w:spacing w:before="8" w:line="240" w:lineRule="exact"/>
              <w:ind w:left="108"/>
              <w:rPr>
                <w:sz w:val="13"/>
              </w:rPr>
            </w:pPr>
            <w:r>
              <w:rPr>
                <w:sz w:val="20"/>
              </w:rPr>
              <w:t>maximum 2019 LTIP award (100% of salary)</w:t>
            </w:r>
            <w:r>
              <w:rPr>
                <w:position w:val="7"/>
                <w:sz w:val="13"/>
              </w:rPr>
              <w:t>1</w:t>
            </w:r>
          </w:p>
        </w:tc>
        <w:tc>
          <w:tcPr>
            <w:tcW w:w="4224" w:type="dxa"/>
          </w:tcPr>
          <w:p w:rsidR="001250E1" w:rsidRDefault="00D56DAA">
            <w:pPr>
              <w:pStyle w:val="TableParagraph"/>
              <w:spacing w:before="1"/>
              <w:ind w:right="95"/>
              <w:jc w:val="both"/>
              <w:rPr>
                <w:sz w:val="20"/>
              </w:rPr>
            </w:pPr>
            <w:r>
              <w:rPr>
                <w:sz w:val="20"/>
              </w:rPr>
              <w:t>Fixed Pay plus the face value of 100% of maximum 2019 TIP award (i.e. 850,000 matching shares)</w:t>
            </w:r>
          </w:p>
        </w:tc>
      </w:tr>
      <w:tr w:rsidR="001250E1">
        <w:trPr>
          <w:trHeight w:val="477"/>
        </w:trPr>
        <w:tc>
          <w:tcPr>
            <w:tcW w:w="1987" w:type="dxa"/>
          </w:tcPr>
          <w:p w:rsidR="001250E1" w:rsidRDefault="00D56DAA">
            <w:pPr>
              <w:pStyle w:val="TableParagraph"/>
              <w:spacing w:line="242" w:lineRule="exact"/>
              <w:ind w:right="563"/>
              <w:rPr>
                <w:sz w:val="20"/>
              </w:rPr>
            </w:pPr>
            <w:r>
              <w:rPr>
                <w:sz w:val="20"/>
              </w:rPr>
              <w:t>Maximum with share price</w:t>
            </w:r>
          </w:p>
        </w:tc>
        <w:tc>
          <w:tcPr>
            <w:tcW w:w="3970" w:type="dxa"/>
            <w:gridSpan w:val="6"/>
          </w:tcPr>
          <w:p w:rsidR="001250E1" w:rsidRDefault="00D56DAA">
            <w:pPr>
              <w:pStyle w:val="TableParagraph"/>
              <w:spacing w:line="242" w:lineRule="exact"/>
              <w:ind w:left="108"/>
              <w:rPr>
                <w:sz w:val="13"/>
              </w:rPr>
            </w:pPr>
            <w:r>
              <w:rPr>
                <w:sz w:val="20"/>
              </w:rPr>
              <w:t>As per the maximum scenario albeit with a maximum share price of 903 pence</w:t>
            </w:r>
            <w:r>
              <w:rPr>
                <w:position w:val="7"/>
                <w:sz w:val="13"/>
              </w:rPr>
              <w:t>2</w:t>
            </w:r>
          </w:p>
        </w:tc>
        <w:tc>
          <w:tcPr>
            <w:tcW w:w="4224" w:type="dxa"/>
          </w:tcPr>
          <w:p w:rsidR="001250E1" w:rsidRDefault="00D56DAA">
            <w:pPr>
              <w:pStyle w:val="TableParagraph"/>
              <w:spacing w:line="242" w:lineRule="exact"/>
              <w:rPr>
                <w:sz w:val="13"/>
              </w:rPr>
            </w:pPr>
            <w:r>
              <w:rPr>
                <w:sz w:val="20"/>
              </w:rPr>
              <w:t>As per the maximum scenario albeit with a maximum share price of 903 pence</w:t>
            </w:r>
            <w:r>
              <w:rPr>
                <w:position w:val="7"/>
                <w:sz w:val="13"/>
              </w:rPr>
              <w:t>2</w:t>
            </w:r>
          </w:p>
        </w:tc>
      </w:tr>
    </w:tbl>
    <w:p w:rsidR="001250E1" w:rsidRDefault="00D56DAA">
      <w:pPr>
        <w:ind w:left="112"/>
        <w:rPr>
          <w:b/>
          <w:sz w:val="16"/>
        </w:rPr>
      </w:pPr>
      <w:r>
        <w:rPr>
          <w:b/>
          <w:sz w:val="16"/>
        </w:rPr>
        <w:t>Notes:</w:t>
      </w:r>
    </w:p>
    <w:p w:rsidR="001250E1" w:rsidRDefault="00D56DAA">
      <w:pPr>
        <w:pStyle w:val="ListParagraph"/>
        <w:numPr>
          <w:ilvl w:val="0"/>
          <w:numId w:val="2"/>
        </w:numPr>
        <w:tabs>
          <w:tab w:val="left" w:pos="399"/>
        </w:tabs>
        <w:spacing w:before="57" w:line="244" w:lineRule="auto"/>
        <w:ind w:right="142"/>
        <w:rPr>
          <w:sz w:val="16"/>
        </w:rPr>
      </w:pPr>
      <w:r>
        <w:rPr>
          <w:sz w:val="16"/>
        </w:rPr>
        <w:t>An</w:t>
      </w:r>
      <w:r>
        <w:rPr>
          <w:spacing w:val="-9"/>
          <w:sz w:val="16"/>
        </w:rPr>
        <w:t xml:space="preserve"> </w:t>
      </w:r>
      <w:r>
        <w:rPr>
          <w:sz w:val="16"/>
        </w:rPr>
        <w:t>ongoing</w:t>
      </w:r>
      <w:r>
        <w:rPr>
          <w:spacing w:val="-8"/>
          <w:sz w:val="16"/>
        </w:rPr>
        <w:t xml:space="preserve"> </w:t>
      </w:r>
      <w:r>
        <w:rPr>
          <w:sz w:val="16"/>
        </w:rPr>
        <w:t>annual</w:t>
      </w:r>
      <w:r>
        <w:rPr>
          <w:spacing w:val="-9"/>
          <w:sz w:val="16"/>
        </w:rPr>
        <w:t xml:space="preserve"> </w:t>
      </w:r>
      <w:r>
        <w:rPr>
          <w:sz w:val="16"/>
        </w:rPr>
        <w:t>2019</w:t>
      </w:r>
      <w:r>
        <w:rPr>
          <w:spacing w:val="-7"/>
          <w:sz w:val="16"/>
        </w:rPr>
        <w:t xml:space="preserve"> </w:t>
      </w:r>
      <w:r>
        <w:rPr>
          <w:sz w:val="16"/>
        </w:rPr>
        <w:t>LTIP</w:t>
      </w:r>
      <w:r>
        <w:rPr>
          <w:spacing w:val="-8"/>
          <w:sz w:val="16"/>
        </w:rPr>
        <w:t xml:space="preserve"> </w:t>
      </w:r>
      <w:r>
        <w:rPr>
          <w:sz w:val="16"/>
        </w:rPr>
        <w:t>award</w:t>
      </w:r>
      <w:r>
        <w:rPr>
          <w:spacing w:val="-8"/>
          <w:sz w:val="16"/>
        </w:rPr>
        <w:t xml:space="preserve"> </w:t>
      </w:r>
      <w:r>
        <w:rPr>
          <w:sz w:val="16"/>
        </w:rPr>
        <w:t>level</w:t>
      </w:r>
      <w:r>
        <w:rPr>
          <w:spacing w:val="-9"/>
          <w:sz w:val="16"/>
        </w:rPr>
        <w:t xml:space="preserve"> </w:t>
      </w:r>
      <w:r>
        <w:rPr>
          <w:sz w:val="16"/>
        </w:rPr>
        <w:t>of</w:t>
      </w:r>
      <w:r>
        <w:rPr>
          <w:spacing w:val="-9"/>
          <w:sz w:val="16"/>
        </w:rPr>
        <w:t xml:space="preserve"> </w:t>
      </w:r>
      <w:r>
        <w:rPr>
          <w:sz w:val="16"/>
        </w:rPr>
        <w:t>100</w:t>
      </w:r>
      <w:r>
        <w:rPr>
          <w:spacing w:val="-6"/>
          <w:sz w:val="16"/>
        </w:rPr>
        <w:t xml:space="preserve"> </w:t>
      </w:r>
      <w:r>
        <w:rPr>
          <w:sz w:val="16"/>
        </w:rPr>
        <w:t>per</w:t>
      </w:r>
      <w:r>
        <w:rPr>
          <w:spacing w:val="-9"/>
          <w:sz w:val="16"/>
        </w:rPr>
        <w:t xml:space="preserve"> </w:t>
      </w:r>
      <w:r>
        <w:rPr>
          <w:sz w:val="16"/>
        </w:rPr>
        <w:t>cent.</w:t>
      </w:r>
      <w:r>
        <w:rPr>
          <w:spacing w:val="-9"/>
          <w:sz w:val="16"/>
        </w:rPr>
        <w:t xml:space="preserve"> </w:t>
      </w:r>
      <w:r>
        <w:rPr>
          <w:sz w:val="16"/>
        </w:rPr>
        <w:t>of</w:t>
      </w:r>
      <w:r>
        <w:rPr>
          <w:spacing w:val="-9"/>
          <w:sz w:val="16"/>
        </w:rPr>
        <w:t xml:space="preserve"> </w:t>
      </w:r>
      <w:r>
        <w:rPr>
          <w:sz w:val="16"/>
        </w:rPr>
        <w:t>salary,</w:t>
      </w:r>
      <w:r>
        <w:rPr>
          <w:spacing w:val="-7"/>
          <w:sz w:val="16"/>
        </w:rPr>
        <w:t xml:space="preserve"> </w:t>
      </w:r>
      <w:r>
        <w:rPr>
          <w:sz w:val="16"/>
        </w:rPr>
        <w:t>rather</w:t>
      </w:r>
      <w:r>
        <w:rPr>
          <w:spacing w:val="-9"/>
          <w:sz w:val="16"/>
        </w:rPr>
        <w:t xml:space="preserve"> </w:t>
      </w:r>
      <w:r>
        <w:rPr>
          <w:sz w:val="16"/>
        </w:rPr>
        <w:t>than</w:t>
      </w:r>
      <w:r>
        <w:rPr>
          <w:spacing w:val="-7"/>
          <w:sz w:val="16"/>
        </w:rPr>
        <w:t xml:space="preserve"> </w:t>
      </w:r>
      <w:r>
        <w:rPr>
          <w:sz w:val="16"/>
        </w:rPr>
        <w:t>the</w:t>
      </w:r>
      <w:r>
        <w:rPr>
          <w:spacing w:val="-6"/>
          <w:sz w:val="16"/>
        </w:rPr>
        <w:t xml:space="preserve"> </w:t>
      </w:r>
      <w:r>
        <w:rPr>
          <w:sz w:val="16"/>
        </w:rPr>
        <w:t>initial</w:t>
      </w:r>
      <w:r>
        <w:rPr>
          <w:spacing w:val="-9"/>
          <w:sz w:val="16"/>
        </w:rPr>
        <w:t xml:space="preserve"> </w:t>
      </w:r>
      <w:r>
        <w:rPr>
          <w:sz w:val="16"/>
        </w:rPr>
        <w:t>award</w:t>
      </w:r>
      <w:r>
        <w:rPr>
          <w:spacing w:val="-7"/>
          <w:sz w:val="16"/>
        </w:rPr>
        <w:t xml:space="preserve"> </w:t>
      </w:r>
      <w:r>
        <w:rPr>
          <w:sz w:val="16"/>
        </w:rPr>
        <w:t>level</w:t>
      </w:r>
      <w:r>
        <w:rPr>
          <w:spacing w:val="-9"/>
          <w:sz w:val="16"/>
        </w:rPr>
        <w:t xml:space="preserve"> </w:t>
      </w:r>
      <w:r>
        <w:rPr>
          <w:sz w:val="16"/>
        </w:rPr>
        <w:t>of</w:t>
      </w:r>
      <w:r>
        <w:rPr>
          <w:spacing w:val="-7"/>
          <w:sz w:val="16"/>
        </w:rPr>
        <w:t xml:space="preserve"> </w:t>
      </w:r>
      <w:r>
        <w:rPr>
          <w:sz w:val="16"/>
        </w:rPr>
        <w:t>approximately</w:t>
      </w:r>
      <w:r>
        <w:rPr>
          <w:spacing w:val="-9"/>
          <w:sz w:val="16"/>
        </w:rPr>
        <w:t xml:space="preserve"> </w:t>
      </w:r>
      <w:r>
        <w:rPr>
          <w:sz w:val="16"/>
        </w:rPr>
        <w:t>75</w:t>
      </w:r>
      <w:r>
        <w:rPr>
          <w:spacing w:val="-7"/>
          <w:sz w:val="16"/>
        </w:rPr>
        <w:t xml:space="preserve"> </w:t>
      </w:r>
      <w:r>
        <w:rPr>
          <w:sz w:val="16"/>
        </w:rPr>
        <w:t>per</w:t>
      </w:r>
      <w:r>
        <w:rPr>
          <w:spacing w:val="-9"/>
          <w:sz w:val="16"/>
        </w:rPr>
        <w:t xml:space="preserve"> </w:t>
      </w:r>
      <w:r>
        <w:rPr>
          <w:sz w:val="16"/>
        </w:rPr>
        <w:t>cent.</w:t>
      </w:r>
      <w:r>
        <w:rPr>
          <w:spacing w:val="-7"/>
          <w:sz w:val="16"/>
        </w:rPr>
        <w:t xml:space="preserve"> </w:t>
      </w:r>
      <w:r>
        <w:rPr>
          <w:sz w:val="16"/>
        </w:rPr>
        <w:t>of</w:t>
      </w:r>
      <w:r>
        <w:rPr>
          <w:spacing w:val="-9"/>
          <w:sz w:val="16"/>
        </w:rPr>
        <w:t xml:space="preserve"> </w:t>
      </w:r>
      <w:r>
        <w:rPr>
          <w:sz w:val="16"/>
        </w:rPr>
        <w:t>salary, has been</w:t>
      </w:r>
      <w:r>
        <w:rPr>
          <w:spacing w:val="-2"/>
          <w:sz w:val="16"/>
        </w:rPr>
        <w:t xml:space="preserve"> </w:t>
      </w:r>
      <w:r>
        <w:rPr>
          <w:sz w:val="16"/>
        </w:rPr>
        <w:t>assumed.</w:t>
      </w:r>
    </w:p>
    <w:p w:rsidR="001250E1" w:rsidRDefault="00D56DAA">
      <w:pPr>
        <w:pStyle w:val="ListParagraph"/>
        <w:numPr>
          <w:ilvl w:val="0"/>
          <w:numId w:val="2"/>
        </w:numPr>
        <w:tabs>
          <w:tab w:val="left" w:pos="399"/>
        </w:tabs>
        <w:spacing w:before="52"/>
        <w:ind w:right="143"/>
        <w:jc w:val="both"/>
        <w:rPr>
          <w:sz w:val="16"/>
        </w:rPr>
      </w:pPr>
      <w:r>
        <w:rPr>
          <w:sz w:val="16"/>
        </w:rPr>
        <w:t>The maximum share price target of 903 pence, based on the closing middle-market price of an ordinary share of 405 pence as at 20 August 2019, suggests a 123 per cent. growth rate. Had a 50 per cent. growth rate been used, total remuneration for the Chief Executive Officer and</w:t>
      </w:r>
      <w:r>
        <w:rPr>
          <w:spacing w:val="-7"/>
          <w:sz w:val="16"/>
        </w:rPr>
        <w:t xml:space="preserve"> </w:t>
      </w:r>
      <w:r>
        <w:rPr>
          <w:sz w:val="16"/>
        </w:rPr>
        <w:t>Corporate</w:t>
      </w:r>
      <w:r>
        <w:rPr>
          <w:spacing w:val="-7"/>
          <w:sz w:val="16"/>
        </w:rPr>
        <w:t xml:space="preserve"> </w:t>
      </w:r>
      <w:r>
        <w:rPr>
          <w:sz w:val="16"/>
        </w:rPr>
        <w:t>Affairs</w:t>
      </w:r>
      <w:r>
        <w:rPr>
          <w:spacing w:val="-7"/>
          <w:sz w:val="16"/>
        </w:rPr>
        <w:t xml:space="preserve"> </w:t>
      </w:r>
      <w:r>
        <w:rPr>
          <w:sz w:val="16"/>
        </w:rPr>
        <w:t>Director</w:t>
      </w:r>
      <w:r>
        <w:rPr>
          <w:spacing w:val="-7"/>
          <w:sz w:val="16"/>
        </w:rPr>
        <w:t xml:space="preserve"> </w:t>
      </w:r>
      <w:r>
        <w:rPr>
          <w:sz w:val="16"/>
        </w:rPr>
        <w:t>&amp;</w:t>
      </w:r>
      <w:r>
        <w:rPr>
          <w:spacing w:val="-6"/>
          <w:sz w:val="16"/>
        </w:rPr>
        <w:t xml:space="preserve"> </w:t>
      </w:r>
      <w:r>
        <w:rPr>
          <w:sz w:val="16"/>
        </w:rPr>
        <w:t>Group</w:t>
      </w:r>
      <w:r>
        <w:rPr>
          <w:spacing w:val="-7"/>
          <w:sz w:val="16"/>
        </w:rPr>
        <w:t xml:space="preserve"> </w:t>
      </w:r>
      <w:r>
        <w:rPr>
          <w:sz w:val="16"/>
        </w:rPr>
        <w:t>Company</w:t>
      </w:r>
      <w:r>
        <w:rPr>
          <w:spacing w:val="-8"/>
          <w:sz w:val="16"/>
        </w:rPr>
        <w:t xml:space="preserve"> </w:t>
      </w:r>
      <w:r>
        <w:rPr>
          <w:sz w:val="16"/>
        </w:rPr>
        <w:t>Secretary</w:t>
      </w:r>
      <w:r>
        <w:rPr>
          <w:spacing w:val="-8"/>
          <w:sz w:val="16"/>
        </w:rPr>
        <w:t xml:space="preserve"> </w:t>
      </w:r>
      <w:r>
        <w:rPr>
          <w:sz w:val="16"/>
        </w:rPr>
        <w:t>would</w:t>
      </w:r>
      <w:r>
        <w:rPr>
          <w:spacing w:val="-7"/>
          <w:sz w:val="16"/>
        </w:rPr>
        <w:t xml:space="preserve"> </w:t>
      </w:r>
      <w:r>
        <w:rPr>
          <w:sz w:val="16"/>
        </w:rPr>
        <w:t>be</w:t>
      </w:r>
      <w:r>
        <w:rPr>
          <w:spacing w:val="-4"/>
          <w:sz w:val="16"/>
        </w:rPr>
        <w:t xml:space="preserve"> </w:t>
      </w:r>
      <w:r>
        <w:rPr>
          <w:sz w:val="16"/>
        </w:rPr>
        <w:t>between</w:t>
      </w:r>
      <w:r>
        <w:rPr>
          <w:spacing w:val="-8"/>
          <w:sz w:val="16"/>
        </w:rPr>
        <w:t xml:space="preserve"> </w:t>
      </w:r>
      <w:r>
        <w:rPr>
          <w:sz w:val="16"/>
        </w:rPr>
        <w:t>Fixed</w:t>
      </w:r>
      <w:r>
        <w:rPr>
          <w:spacing w:val="-7"/>
          <w:sz w:val="16"/>
        </w:rPr>
        <w:t xml:space="preserve"> </w:t>
      </w:r>
      <w:r>
        <w:rPr>
          <w:sz w:val="16"/>
        </w:rPr>
        <w:t>Pay</w:t>
      </w:r>
      <w:r>
        <w:rPr>
          <w:spacing w:val="-8"/>
          <w:sz w:val="16"/>
        </w:rPr>
        <w:t xml:space="preserve"> </w:t>
      </w:r>
      <w:r>
        <w:rPr>
          <w:sz w:val="16"/>
        </w:rPr>
        <w:t>and</w:t>
      </w:r>
      <w:r>
        <w:rPr>
          <w:spacing w:val="-6"/>
          <w:sz w:val="16"/>
        </w:rPr>
        <w:t xml:space="preserve"> </w:t>
      </w:r>
      <w:r>
        <w:rPr>
          <w:sz w:val="16"/>
        </w:rPr>
        <w:t>Target</w:t>
      </w:r>
      <w:r>
        <w:rPr>
          <w:spacing w:val="-8"/>
          <w:sz w:val="16"/>
        </w:rPr>
        <w:t xml:space="preserve"> </w:t>
      </w:r>
      <w:r>
        <w:rPr>
          <w:sz w:val="16"/>
        </w:rPr>
        <w:t>levels</w:t>
      </w:r>
      <w:r>
        <w:rPr>
          <w:spacing w:val="-6"/>
          <w:sz w:val="16"/>
        </w:rPr>
        <w:t xml:space="preserve"> </w:t>
      </w:r>
      <w:r>
        <w:rPr>
          <w:sz w:val="16"/>
        </w:rPr>
        <w:t>(since</w:t>
      </w:r>
      <w:r>
        <w:rPr>
          <w:spacing w:val="-7"/>
          <w:sz w:val="16"/>
        </w:rPr>
        <w:t xml:space="preserve"> </w:t>
      </w:r>
      <w:r>
        <w:rPr>
          <w:sz w:val="16"/>
        </w:rPr>
        <w:t>no</w:t>
      </w:r>
      <w:r>
        <w:rPr>
          <w:spacing w:val="-8"/>
          <w:sz w:val="16"/>
        </w:rPr>
        <w:t xml:space="preserve"> </w:t>
      </w:r>
      <w:r>
        <w:rPr>
          <w:sz w:val="16"/>
        </w:rPr>
        <w:t>2019</w:t>
      </w:r>
      <w:r>
        <w:rPr>
          <w:spacing w:val="-5"/>
          <w:sz w:val="16"/>
        </w:rPr>
        <w:t xml:space="preserve"> </w:t>
      </w:r>
      <w:r>
        <w:rPr>
          <w:sz w:val="16"/>
        </w:rPr>
        <w:t>LTIP</w:t>
      </w:r>
      <w:r>
        <w:rPr>
          <w:spacing w:val="-7"/>
          <w:sz w:val="16"/>
        </w:rPr>
        <w:t xml:space="preserve"> </w:t>
      </w:r>
      <w:r>
        <w:rPr>
          <w:sz w:val="16"/>
        </w:rPr>
        <w:t>awards</w:t>
      </w:r>
      <w:r>
        <w:rPr>
          <w:spacing w:val="-7"/>
          <w:sz w:val="16"/>
        </w:rPr>
        <w:t xml:space="preserve"> </w:t>
      </w:r>
      <w:r>
        <w:rPr>
          <w:sz w:val="16"/>
        </w:rPr>
        <w:t>would vest under the absolute TSR targets) and total remuneration for the Executive Chairman would equal Fixed Pay levels (since the 2019 TIP award would not</w:t>
      </w:r>
      <w:r>
        <w:rPr>
          <w:spacing w:val="-2"/>
          <w:sz w:val="16"/>
        </w:rPr>
        <w:t xml:space="preserve"> </w:t>
      </w:r>
      <w:r>
        <w:rPr>
          <w:sz w:val="16"/>
        </w:rPr>
        <w:t>vest).</w:t>
      </w:r>
    </w:p>
    <w:p w:rsidR="001250E1" w:rsidRDefault="001250E1">
      <w:pPr>
        <w:pStyle w:val="BodyText"/>
        <w:spacing w:before="3"/>
      </w:pPr>
    </w:p>
    <w:p w:rsidR="001250E1" w:rsidRDefault="00D56DAA">
      <w:pPr>
        <w:pStyle w:val="Heading1"/>
        <w:numPr>
          <w:ilvl w:val="0"/>
          <w:numId w:val="1"/>
        </w:numPr>
        <w:tabs>
          <w:tab w:val="left" w:pos="399"/>
        </w:tabs>
        <w:spacing w:before="1"/>
      </w:pPr>
      <w:bookmarkStart w:id="6" w:name="6._Consideration_of_Employee_Conditions_"/>
      <w:bookmarkEnd w:id="6"/>
      <w:r>
        <w:t>Consideration of Employee Conditions Elsewhere in the</w:t>
      </w:r>
      <w:r>
        <w:rPr>
          <w:spacing w:val="-2"/>
        </w:rPr>
        <w:t xml:space="preserve"> </w:t>
      </w:r>
      <w:r>
        <w:t>Group</w:t>
      </w:r>
    </w:p>
    <w:p w:rsidR="001250E1" w:rsidRDefault="00D56DAA">
      <w:pPr>
        <w:pStyle w:val="BodyText"/>
        <w:spacing w:before="58"/>
        <w:ind w:left="112" w:right="147"/>
        <w:jc w:val="both"/>
      </w:pPr>
      <w:r>
        <w:t>The average base salary increase awarded across the workforce provides a key reference point when determining levels of increase for the Executive Directors to ensure that all arrangements remain reasonable. Given the number of</w:t>
      </w:r>
      <w:r>
        <w:rPr>
          <w:spacing w:val="-14"/>
        </w:rPr>
        <w:t xml:space="preserve"> </w:t>
      </w:r>
      <w:r>
        <w:t>employees</w:t>
      </w:r>
      <w:r>
        <w:rPr>
          <w:spacing w:val="-12"/>
        </w:rPr>
        <w:t xml:space="preserve"> </w:t>
      </w:r>
      <w:r>
        <w:t>and</w:t>
      </w:r>
      <w:r>
        <w:rPr>
          <w:spacing w:val="-12"/>
        </w:rPr>
        <w:t xml:space="preserve"> </w:t>
      </w:r>
      <w:r>
        <w:t>diverse</w:t>
      </w:r>
      <w:r>
        <w:rPr>
          <w:spacing w:val="-12"/>
        </w:rPr>
        <w:t xml:space="preserve"> </w:t>
      </w:r>
      <w:r>
        <w:t>locations,</w:t>
      </w:r>
      <w:r>
        <w:rPr>
          <w:spacing w:val="-13"/>
        </w:rPr>
        <w:t xml:space="preserve"> </w:t>
      </w:r>
      <w:r>
        <w:t>the</w:t>
      </w:r>
      <w:r>
        <w:rPr>
          <w:spacing w:val="-11"/>
        </w:rPr>
        <w:t xml:space="preserve"> </w:t>
      </w:r>
      <w:r>
        <w:t>Remuneration</w:t>
      </w:r>
      <w:r>
        <w:rPr>
          <w:spacing w:val="-11"/>
        </w:rPr>
        <w:t xml:space="preserve"> </w:t>
      </w:r>
      <w:r>
        <w:t>Committee</w:t>
      </w:r>
      <w:r>
        <w:rPr>
          <w:spacing w:val="-11"/>
        </w:rPr>
        <w:t xml:space="preserve"> </w:t>
      </w:r>
      <w:r>
        <w:t>did</w:t>
      </w:r>
      <w:r>
        <w:rPr>
          <w:spacing w:val="-12"/>
        </w:rPr>
        <w:t xml:space="preserve"> </w:t>
      </w:r>
      <w:r>
        <w:t>not</w:t>
      </w:r>
      <w:r>
        <w:rPr>
          <w:spacing w:val="-13"/>
        </w:rPr>
        <w:t xml:space="preserve"> </w:t>
      </w:r>
      <w:r>
        <w:t>believe</w:t>
      </w:r>
      <w:r>
        <w:rPr>
          <w:spacing w:val="-11"/>
        </w:rPr>
        <w:t xml:space="preserve"> </w:t>
      </w:r>
      <w:r>
        <w:t>it</w:t>
      </w:r>
      <w:r>
        <w:rPr>
          <w:spacing w:val="-9"/>
        </w:rPr>
        <w:t xml:space="preserve"> </w:t>
      </w:r>
      <w:r>
        <w:t>practical</w:t>
      </w:r>
      <w:r>
        <w:rPr>
          <w:spacing w:val="-13"/>
        </w:rPr>
        <w:t xml:space="preserve"> </w:t>
      </w:r>
      <w:r>
        <w:t>or</w:t>
      </w:r>
      <w:r>
        <w:rPr>
          <w:spacing w:val="-12"/>
        </w:rPr>
        <w:t xml:space="preserve"> </w:t>
      </w:r>
      <w:r>
        <w:t>reasonable</w:t>
      </w:r>
      <w:r>
        <w:rPr>
          <w:spacing w:val="-11"/>
        </w:rPr>
        <w:t xml:space="preserve"> </w:t>
      </w:r>
      <w:r>
        <w:t>to</w:t>
      </w:r>
      <w:r>
        <w:rPr>
          <w:spacing w:val="-11"/>
        </w:rPr>
        <w:t xml:space="preserve"> </w:t>
      </w:r>
      <w:r>
        <w:t>consult employees</w:t>
      </w:r>
      <w:r>
        <w:rPr>
          <w:spacing w:val="-18"/>
        </w:rPr>
        <w:t xml:space="preserve"> </w:t>
      </w:r>
      <w:r>
        <w:t>on</w:t>
      </w:r>
      <w:r>
        <w:rPr>
          <w:spacing w:val="-18"/>
        </w:rPr>
        <w:t xml:space="preserve"> </w:t>
      </w:r>
      <w:r>
        <w:t>the</w:t>
      </w:r>
      <w:r>
        <w:rPr>
          <w:spacing w:val="-15"/>
        </w:rPr>
        <w:t xml:space="preserve"> </w:t>
      </w:r>
      <w:r>
        <w:t>new</w:t>
      </w:r>
      <w:r>
        <w:rPr>
          <w:spacing w:val="32"/>
        </w:rPr>
        <w:t xml:space="preserve"> </w:t>
      </w:r>
      <w:r>
        <w:t>Remuneration</w:t>
      </w:r>
      <w:r>
        <w:rPr>
          <w:spacing w:val="-16"/>
        </w:rPr>
        <w:t xml:space="preserve"> </w:t>
      </w:r>
      <w:r>
        <w:t>Policy.</w:t>
      </w:r>
      <w:r>
        <w:rPr>
          <w:spacing w:val="-15"/>
        </w:rPr>
        <w:t xml:space="preserve"> </w:t>
      </w:r>
      <w:r>
        <w:t>That</w:t>
      </w:r>
      <w:r>
        <w:rPr>
          <w:spacing w:val="-16"/>
        </w:rPr>
        <w:t xml:space="preserve"> </w:t>
      </w:r>
      <w:r>
        <w:t>said,</w:t>
      </w:r>
      <w:r>
        <w:rPr>
          <w:spacing w:val="-16"/>
        </w:rPr>
        <w:t xml:space="preserve"> </w:t>
      </w:r>
      <w:r>
        <w:t>the</w:t>
      </w:r>
      <w:r>
        <w:rPr>
          <w:spacing w:val="-16"/>
        </w:rPr>
        <w:t xml:space="preserve"> </w:t>
      </w:r>
      <w:r>
        <w:t>Remuneration</w:t>
      </w:r>
      <w:r>
        <w:rPr>
          <w:spacing w:val="-16"/>
        </w:rPr>
        <w:t xml:space="preserve"> </w:t>
      </w:r>
      <w:r>
        <w:t>Committee</w:t>
      </w:r>
      <w:r>
        <w:rPr>
          <w:spacing w:val="-16"/>
        </w:rPr>
        <w:t xml:space="preserve"> </w:t>
      </w:r>
      <w:r>
        <w:t>did</w:t>
      </w:r>
      <w:r>
        <w:rPr>
          <w:spacing w:val="-18"/>
        </w:rPr>
        <w:t xml:space="preserve"> </w:t>
      </w:r>
      <w:proofErr w:type="gramStart"/>
      <w:r>
        <w:t>take</w:t>
      </w:r>
      <w:r>
        <w:rPr>
          <w:spacing w:val="-16"/>
        </w:rPr>
        <w:t xml:space="preserve"> </w:t>
      </w:r>
      <w:r>
        <w:t>into</w:t>
      </w:r>
      <w:r>
        <w:rPr>
          <w:spacing w:val="-17"/>
        </w:rPr>
        <w:t xml:space="preserve"> </w:t>
      </w:r>
      <w:r>
        <w:t>account</w:t>
      </w:r>
      <w:proofErr w:type="gramEnd"/>
      <w:r>
        <w:rPr>
          <w:spacing w:val="-17"/>
        </w:rPr>
        <w:t xml:space="preserve"> </w:t>
      </w:r>
      <w:r>
        <w:t>employee conditions across the Group when determining the Remuneration</w:t>
      </w:r>
      <w:r>
        <w:rPr>
          <w:spacing w:val="-3"/>
        </w:rPr>
        <w:t xml:space="preserve"> </w:t>
      </w:r>
      <w:r>
        <w:t>Policy.</w:t>
      </w:r>
    </w:p>
    <w:p w:rsidR="001250E1" w:rsidRDefault="001250E1">
      <w:pPr>
        <w:pStyle w:val="BodyText"/>
        <w:spacing w:before="11"/>
        <w:rPr>
          <w:sz w:val="19"/>
        </w:rPr>
      </w:pPr>
    </w:p>
    <w:p w:rsidR="001250E1" w:rsidRDefault="00D56DAA">
      <w:pPr>
        <w:pStyle w:val="Heading1"/>
        <w:numPr>
          <w:ilvl w:val="0"/>
          <w:numId w:val="1"/>
        </w:numPr>
        <w:tabs>
          <w:tab w:val="left" w:pos="539"/>
          <w:tab w:val="left" w:pos="541"/>
        </w:tabs>
        <w:ind w:left="540" w:hanging="428"/>
      </w:pPr>
      <w:bookmarkStart w:id="7" w:name="7._Consideration_of_Shareholder_Views"/>
      <w:bookmarkEnd w:id="7"/>
      <w:r>
        <w:t>Consideration of Shareholder</w:t>
      </w:r>
      <w:r>
        <w:rPr>
          <w:spacing w:val="-3"/>
        </w:rPr>
        <w:t xml:space="preserve"> </w:t>
      </w:r>
      <w:r>
        <w:t>Views</w:t>
      </w:r>
    </w:p>
    <w:p w:rsidR="001250E1" w:rsidRDefault="00D56DAA">
      <w:pPr>
        <w:pStyle w:val="BodyText"/>
        <w:spacing w:before="59"/>
        <w:ind w:left="112" w:right="148"/>
        <w:jc w:val="both"/>
        <w:rPr>
          <w:rFonts w:ascii="Arial" w:hAnsi="Arial"/>
        </w:rPr>
      </w:pPr>
      <w:r>
        <w:t xml:space="preserve">The Remuneration Committee reviews shareholder feedback on remuneration matters as well as developments in investor body guidelines and has taken these into account in formulating Executive Director remuneration policies. The Remuneration Committee consulted with </w:t>
      </w:r>
      <w:proofErr w:type="gramStart"/>
      <w:r>
        <w:t>a number of</w:t>
      </w:r>
      <w:proofErr w:type="gramEnd"/>
      <w:r>
        <w:t xml:space="preserve"> the Company’s major shareholders in relation to the replacement of the Company’s Value Creation Plan with the 2019 LTIP and the introduction of the 2019 TIP</w:t>
      </w:r>
      <w:r>
        <w:rPr>
          <w:rFonts w:ascii="Arial" w:hAnsi="Arial"/>
        </w:rPr>
        <w:t>.</w:t>
      </w:r>
    </w:p>
    <w:sectPr w:rsidR="001250E1" w:rsidSect="003D5C08">
      <w:pgSz w:w="11910" w:h="16840"/>
      <w:pgMar w:top="851" w:right="5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6B1"/>
    <w:multiLevelType w:val="hybridMultilevel"/>
    <w:tmpl w:val="9344013E"/>
    <w:lvl w:ilvl="0" w:tplc="E01C135C">
      <w:numFmt w:val="bullet"/>
      <w:lvlText w:val="•"/>
      <w:lvlJc w:val="left"/>
      <w:pPr>
        <w:ind w:left="420" w:hanging="284"/>
      </w:pPr>
      <w:rPr>
        <w:rFonts w:ascii="Tahoma" w:eastAsia="Tahoma" w:hAnsi="Tahoma" w:cs="Tahoma" w:hint="default"/>
        <w:spacing w:val="-2"/>
        <w:w w:val="99"/>
        <w:sz w:val="18"/>
        <w:szCs w:val="18"/>
        <w:lang w:val="en-GB" w:eastAsia="en-GB" w:bidi="en-GB"/>
      </w:rPr>
    </w:lvl>
    <w:lvl w:ilvl="1" w:tplc="1146F606">
      <w:numFmt w:val="bullet"/>
      <w:lvlText w:val="•"/>
      <w:lvlJc w:val="left"/>
      <w:pPr>
        <w:ind w:left="632" w:hanging="284"/>
      </w:pPr>
      <w:rPr>
        <w:rFonts w:hint="default"/>
        <w:lang w:val="en-GB" w:eastAsia="en-GB" w:bidi="en-GB"/>
      </w:rPr>
    </w:lvl>
    <w:lvl w:ilvl="2" w:tplc="EC0AE22A">
      <w:numFmt w:val="bullet"/>
      <w:lvlText w:val="•"/>
      <w:lvlJc w:val="left"/>
      <w:pPr>
        <w:ind w:left="844" w:hanging="284"/>
      </w:pPr>
      <w:rPr>
        <w:rFonts w:hint="default"/>
        <w:lang w:val="en-GB" w:eastAsia="en-GB" w:bidi="en-GB"/>
      </w:rPr>
    </w:lvl>
    <w:lvl w:ilvl="3" w:tplc="1758D632">
      <w:numFmt w:val="bullet"/>
      <w:lvlText w:val="•"/>
      <w:lvlJc w:val="left"/>
      <w:pPr>
        <w:ind w:left="1056" w:hanging="284"/>
      </w:pPr>
      <w:rPr>
        <w:rFonts w:hint="default"/>
        <w:lang w:val="en-GB" w:eastAsia="en-GB" w:bidi="en-GB"/>
      </w:rPr>
    </w:lvl>
    <w:lvl w:ilvl="4" w:tplc="D93A2BD0">
      <w:numFmt w:val="bullet"/>
      <w:lvlText w:val="•"/>
      <w:lvlJc w:val="left"/>
      <w:pPr>
        <w:ind w:left="1268" w:hanging="284"/>
      </w:pPr>
      <w:rPr>
        <w:rFonts w:hint="default"/>
        <w:lang w:val="en-GB" w:eastAsia="en-GB" w:bidi="en-GB"/>
      </w:rPr>
    </w:lvl>
    <w:lvl w:ilvl="5" w:tplc="53D4837C">
      <w:numFmt w:val="bullet"/>
      <w:lvlText w:val="•"/>
      <w:lvlJc w:val="left"/>
      <w:pPr>
        <w:ind w:left="1481" w:hanging="284"/>
      </w:pPr>
      <w:rPr>
        <w:rFonts w:hint="default"/>
        <w:lang w:val="en-GB" w:eastAsia="en-GB" w:bidi="en-GB"/>
      </w:rPr>
    </w:lvl>
    <w:lvl w:ilvl="6" w:tplc="9806C33A">
      <w:numFmt w:val="bullet"/>
      <w:lvlText w:val="•"/>
      <w:lvlJc w:val="left"/>
      <w:pPr>
        <w:ind w:left="1693" w:hanging="284"/>
      </w:pPr>
      <w:rPr>
        <w:rFonts w:hint="default"/>
        <w:lang w:val="en-GB" w:eastAsia="en-GB" w:bidi="en-GB"/>
      </w:rPr>
    </w:lvl>
    <w:lvl w:ilvl="7" w:tplc="037A9ABC">
      <w:numFmt w:val="bullet"/>
      <w:lvlText w:val="•"/>
      <w:lvlJc w:val="left"/>
      <w:pPr>
        <w:ind w:left="1905" w:hanging="284"/>
      </w:pPr>
      <w:rPr>
        <w:rFonts w:hint="default"/>
        <w:lang w:val="en-GB" w:eastAsia="en-GB" w:bidi="en-GB"/>
      </w:rPr>
    </w:lvl>
    <w:lvl w:ilvl="8" w:tplc="AF980420">
      <w:numFmt w:val="bullet"/>
      <w:lvlText w:val="•"/>
      <w:lvlJc w:val="left"/>
      <w:pPr>
        <w:ind w:left="2117" w:hanging="284"/>
      </w:pPr>
      <w:rPr>
        <w:rFonts w:hint="default"/>
        <w:lang w:val="en-GB" w:eastAsia="en-GB" w:bidi="en-GB"/>
      </w:rPr>
    </w:lvl>
  </w:abstractNum>
  <w:abstractNum w:abstractNumId="1" w15:restartNumberingAfterBreak="0">
    <w:nsid w:val="0E615128"/>
    <w:multiLevelType w:val="hybridMultilevel"/>
    <w:tmpl w:val="3F32E4CC"/>
    <w:lvl w:ilvl="0" w:tplc="20224432">
      <w:start w:val="1"/>
      <w:numFmt w:val="decimal"/>
      <w:lvlText w:val="%1."/>
      <w:lvlJc w:val="left"/>
      <w:pPr>
        <w:ind w:left="540" w:hanging="428"/>
        <w:jc w:val="left"/>
      </w:pPr>
      <w:rPr>
        <w:rFonts w:ascii="Tahoma" w:eastAsia="Tahoma" w:hAnsi="Tahoma" w:cs="Tahoma" w:hint="default"/>
        <w:b/>
        <w:bCs/>
        <w:w w:val="99"/>
        <w:sz w:val="20"/>
        <w:szCs w:val="20"/>
        <w:lang w:val="en-GB" w:eastAsia="en-GB" w:bidi="en-GB"/>
      </w:rPr>
    </w:lvl>
    <w:lvl w:ilvl="1" w:tplc="871CC938">
      <w:numFmt w:val="bullet"/>
      <w:lvlText w:val="•"/>
      <w:lvlJc w:val="left"/>
      <w:pPr>
        <w:ind w:left="1530" w:hanging="428"/>
      </w:pPr>
      <w:rPr>
        <w:rFonts w:hint="default"/>
        <w:lang w:val="en-GB" w:eastAsia="en-GB" w:bidi="en-GB"/>
      </w:rPr>
    </w:lvl>
    <w:lvl w:ilvl="2" w:tplc="F1E6C74E">
      <w:numFmt w:val="bullet"/>
      <w:lvlText w:val="•"/>
      <w:lvlJc w:val="left"/>
      <w:pPr>
        <w:ind w:left="2521" w:hanging="428"/>
      </w:pPr>
      <w:rPr>
        <w:rFonts w:hint="default"/>
        <w:lang w:val="en-GB" w:eastAsia="en-GB" w:bidi="en-GB"/>
      </w:rPr>
    </w:lvl>
    <w:lvl w:ilvl="3" w:tplc="B17EBC3C">
      <w:numFmt w:val="bullet"/>
      <w:lvlText w:val="•"/>
      <w:lvlJc w:val="left"/>
      <w:pPr>
        <w:ind w:left="3511" w:hanging="428"/>
      </w:pPr>
      <w:rPr>
        <w:rFonts w:hint="default"/>
        <w:lang w:val="en-GB" w:eastAsia="en-GB" w:bidi="en-GB"/>
      </w:rPr>
    </w:lvl>
    <w:lvl w:ilvl="4" w:tplc="C1BE4CC6">
      <w:numFmt w:val="bullet"/>
      <w:lvlText w:val="•"/>
      <w:lvlJc w:val="left"/>
      <w:pPr>
        <w:ind w:left="4502" w:hanging="428"/>
      </w:pPr>
      <w:rPr>
        <w:rFonts w:hint="default"/>
        <w:lang w:val="en-GB" w:eastAsia="en-GB" w:bidi="en-GB"/>
      </w:rPr>
    </w:lvl>
    <w:lvl w:ilvl="5" w:tplc="B9E2C9D0">
      <w:numFmt w:val="bullet"/>
      <w:lvlText w:val="•"/>
      <w:lvlJc w:val="left"/>
      <w:pPr>
        <w:ind w:left="5493" w:hanging="428"/>
      </w:pPr>
      <w:rPr>
        <w:rFonts w:hint="default"/>
        <w:lang w:val="en-GB" w:eastAsia="en-GB" w:bidi="en-GB"/>
      </w:rPr>
    </w:lvl>
    <w:lvl w:ilvl="6" w:tplc="CFBA986A">
      <w:numFmt w:val="bullet"/>
      <w:lvlText w:val="•"/>
      <w:lvlJc w:val="left"/>
      <w:pPr>
        <w:ind w:left="6483" w:hanging="428"/>
      </w:pPr>
      <w:rPr>
        <w:rFonts w:hint="default"/>
        <w:lang w:val="en-GB" w:eastAsia="en-GB" w:bidi="en-GB"/>
      </w:rPr>
    </w:lvl>
    <w:lvl w:ilvl="7" w:tplc="946C6132">
      <w:numFmt w:val="bullet"/>
      <w:lvlText w:val="•"/>
      <w:lvlJc w:val="left"/>
      <w:pPr>
        <w:ind w:left="7474" w:hanging="428"/>
      </w:pPr>
      <w:rPr>
        <w:rFonts w:hint="default"/>
        <w:lang w:val="en-GB" w:eastAsia="en-GB" w:bidi="en-GB"/>
      </w:rPr>
    </w:lvl>
    <w:lvl w:ilvl="8" w:tplc="2842F916">
      <w:numFmt w:val="bullet"/>
      <w:lvlText w:val="•"/>
      <w:lvlJc w:val="left"/>
      <w:pPr>
        <w:ind w:left="8465" w:hanging="428"/>
      </w:pPr>
      <w:rPr>
        <w:rFonts w:hint="default"/>
        <w:lang w:val="en-GB" w:eastAsia="en-GB" w:bidi="en-GB"/>
      </w:rPr>
    </w:lvl>
  </w:abstractNum>
  <w:abstractNum w:abstractNumId="2" w15:restartNumberingAfterBreak="0">
    <w:nsid w:val="26AE14B6"/>
    <w:multiLevelType w:val="hybridMultilevel"/>
    <w:tmpl w:val="76480DCA"/>
    <w:lvl w:ilvl="0" w:tplc="569E528E">
      <w:start w:val="1"/>
      <w:numFmt w:val="decimal"/>
      <w:lvlText w:val="%1."/>
      <w:lvlJc w:val="left"/>
      <w:pPr>
        <w:ind w:left="398" w:hanging="286"/>
        <w:jc w:val="left"/>
      </w:pPr>
      <w:rPr>
        <w:rFonts w:ascii="Tahoma" w:eastAsia="Tahoma" w:hAnsi="Tahoma" w:cs="Tahoma" w:hint="default"/>
        <w:b/>
        <w:bCs/>
        <w:w w:val="100"/>
        <w:sz w:val="16"/>
        <w:szCs w:val="16"/>
        <w:lang w:val="en-GB" w:eastAsia="en-GB" w:bidi="en-GB"/>
      </w:rPr>
    </w:lvl>
    <w:lvl w:ilvl="1" w:tplc="953A48EA">
      <w:numFmt w:val="bullet"/>
      <w:lvlText w:val="•"/>
      <w:lvlJc w:val="left"/>
      <w:pPr>
        <w:ind w:left="1404" w:hanging="286"/>
      </w:pPr>
      <w:rPr>
        <w:rFonts w:hint="default"/>
        <w:lang w:val="en-GB" w:eastAsia="en-GB" w:bidi="en-GB"/>
      </w:rPr>
    </w:lvl>
    <w:lvl w:ilvl="2" w:tplc="AAC84C9A">
      <w:numFmt w:val="bullet"/>
      <w:lvlText w:val="•"/>
      <w:lvlJc w:val="left"/>
      <w:pPr>
        <w:ind w:left="2409" w:hanging="286"/>
      </w:pPr>
      <w:rPr>
        <w:rFonts w:hint="default"/>
        <w:lang w:val="en-GB" w:eastAsia="en-GB" w:bidi="en-GB"/>
      </w:rPr>
    </w:lvl>
    <w:lvl w:ilvl="3" w:tplc="4770F96C">
      <w:numFmt w:val="bullet"/>
      <w:lvlText w:val="•"/>
      <w:lvlJc w:val="left"/>
      <w:pPr>
        <w:ind w:left="3413" w:hanging="286"/>
      </w:pPr>
      <w:rPr>
        <w:rFonts w:hint="default"/>
        <w:lang w:val="en-GB" w:eastAsia="en-GB" w:bidi="en-GB"/>
      </w:rPr>
    </w:lvl>
    <w:lvl w:ilvl="4" w:tplc="6CC2B866">
      <w:numFmt w:val="bullet"/>
      <w:lvlText w:val="•"/>
      <w:lvlJc w:val="left"/>
      <w:pPr>
        <w:ind w:left="4418" w:hanging="286"/>
      </w:pPr>
      <w:rPr>
        <w:rFonts w:hint="default"/>
        <w:lang w:val="en-GB" w:eastAsia="en-GB" w:bidi="en-GB"/>
      </w:rPr>
    </w:lvl>
    <w:lvl w:ilvl="5" w:tplc="B49439BC">
      <w:numFmt w:val="bullet"/>
      <w:lvlText w:val="•"/>
      <w:lvlJc w:val="left"/>
      <w:pPr>
        <w:ind w:left="5423" w:hanging="286"/>
      </w:pPr>
      <w:rPr>
        <w:rFonts w:hint="default"/>
        <w:lang w:val="en-GB" w:eastAsia="en-GB" w:bidi="en-GB"/>
      </w:rPr>
    </w:lvl>
    <w:lvl w:ilvl="6" w:tplc="4EF6C7EA">
      <w:numFmt w:val="bullet"/>
      <w:lvlText w:val="•"/>
      <w:lvlJc w:val="left"/>
      <w:pPr>
        <w:ind w:left="6427" w:hanging="286"/>
      </w:pPr>
      <w:rPr>
        <w:rFonts w:hint="default"/>
        <w:lang w:val="en-GB" w:eastAsia="en-GB" w:bidi="en-GB"/>
      </w:rPr>
    </w:lvl>
    <w:lvl w:ilvl="7" w:tplc="E54E7242">
      <w:numFmt w:val="bullet"/>
      <w:lvlText w:val="•"/>
      <w:lvlJc w:val="left"/>
      <w:pPr>
        <w:ind w:left="7432" w:hanging="286"/>
      </w:pPr>
      <w:rPr>
        <w:rFonts w:hint="default"/>
        <w:lang w:val="en-GB" w:eastAsia="en-GB" w:bidi="en-GB"/>
      </w:rPr>
    </w:lvl>
    <w:lvl w:ilvl="8" w:tplc="D6344A9E">
      <w:numFmt w:val="bullet"/>
      <w:lvlText w:val="•"/>
      <w:lvlJc w:val="left"/>
      <w:pPr>
        <w:ind w:left="8437" w:hanging="286"/>
      </w:pPr>
      <w:rPr>
        <w:rFonts w:hint="default"/>
        <w:lang w:val="en-GB" w:eastAsia="en-GB" w:bidi="en-GB"/>
      </w:rPr>
    </w:lvl>
  </w:abstractNum>
  <w:abstractNum w:abstractNumId="3" w15:restartNumberingAfterBreak="0">
    <w:nsid w:val="2D6E0E2A"/>
    <w:multiLevelType w:val="hybridMultilevel"/>
    <w:tmpl w:val="119A7E2C"/>
    <w:lvl w:ilvl="0" w:tplc="FB385DE4">
      <w:start w:val="1"/>
      <w:numFmt w:val="decimal"/>
      <w:lvlText w:val="%1."/>
      <w:lvlJc w:val="left"/>
      <w:pPr>
        <w:ind w:left="398" w:hanging="286"/>
        <w:jc w:val="left"/>
      </w:pPr>
      <w:rPr>
        <w:rFonts w:ascii="Tahoma" w:eastAsia="Tahoma" w:hAnsi="Tahoma" w:cs="Tahoma" w:hint="default"/>
        <w:w w:val="100"/>
        <w:sz w:val="16"/>
        <w:szCs w:val="16"/>
        <w:lang w:val="en-GB" w:eastAsia="en-GB" w:bidi="en-GB"/>
      </w:rPr>
    </w:lvl>
    <w:lvl w:ilvl="1" w:tplc="661832F2">
      <w:numFmt w:val="bullet"/>
      <w:lvlText w:val="•"/>
      <w:lvlJc w:val="left"/>
      <w:pPr>
        <w:ind w:left="1404" w:hanging="286"/>
      </w:pPr>
      <w:rPr>
        <w:rFonts w:hint="default"/>
        <w:lang w:val="en-GB" w:eastAsia="en-GB" w:bidi="en-GB"/>
      </w:rPr>
    </w:lvl>
    <w:lvl w:ilvl="2" w:tplc="E0443AA6">
      <w:numFmt w:val="bullet"/>
      <w:lvlText w:val="•"/>
      <w:lvlJc w:val="left"/>
      <w:pPr>
        <w:ind w:left="2409" w:hanging="286"/>
      </w:pPr>
      <w:rPr>
        <w:rFonts w:hint="default"/>
        <w:lang w:val="en-GB" w:eastAsia="en-GB" w:bidi="en-GB"/>
      </w:rPr>
    </w:lvl>
    <w:lvl w:ilvl="3" w:tplc="6BFC44BE">
      <w:numFmt w:val="bullet"/>
      <w:lvlText w:val="•"/>
      <w:lvlJc w:val="left"/>
      <w:pPr>
        <w:ind w:left="3413" w:hanging="286"/>
      </w:pPr>
      <w:rPr>
        <w:rFonts w:hint="default"/>
        <w:lang w:val="en-GB" w:eastAsia="en-GB" w:bidi="en-GB"/>
      </w:rPr>
    </w:lvl>
    <w:lvl w:ilvl="4" w:tplc="A2287DC4">
      <w:numFmt w:val="bullet"/>
      <w:lvlText w:val="•"/>
      <w:lvlJc w:val="left"/>
      <w:pPr>
        <w:ind w:left="4418" w:hanging="286"/>
      </w:pPr>
      <w:rPr>
        <w:rFonts w:hint="default"/>
        <w:lang w:val="en-GB" w:eastAsia="en-GB" w:bidi="en-GB"/>
      </w:rPr>
    </w:lvl>
    <w:lvl w:ilvl="5" w:tplc="4D86642E">
      <w:numFmt w:val="bullet"/>
      <w:lvlText w:val="•"/>
      <w:lvlJc w:val="left"/>
      <w:pPr>
        <w:ind w:left="5423" w:hanging="286"/>
      </w:pPr>
      <w:rPr>
        <w:rFonts w:hint="default"/>
        <w:lang w:val="en-GB" w:eastAsia="en-GB" w:bidi="en-GB"/>
      </w:rPr>
    </w:lvl>
    <w:lvl w:ilvl="6" w:tplc="D1E26570">
      <w:numFmt w:val="bullet"/>
      <w:lvlText w:val="•"/>
      <w:lvlJc w:val="left"/>
      <w:pPr>
        <w:ind w:left="6427" w:hanging="286"/>
      </w:pPr>
      <w:rPr>
        <w:rFonts w:hint="default"/>
        <w:lang w:val="en-GB" w:eastAsia="en-GB" w:bidi="en-GB"/>
      </w:rPr>
    </w:lvl>
    <w:lvl w:ilvl="7" w:tplc="EA320ECC">
      <w:numFmt w:val="bullet"/>
      <w:lvlText w:val="•"/>
      <w:lvlJc w:val="left"/>
      <w:pPr>
        <w:ind w:left="7432" w:hanging="286"/>
      </w:pPr>
      <w:rPr>
        <w:rFonts w:hint="default"/>
        <w:lang w:val="en-GB" w:eastAsia="en-GB" w:bidi="en-GB"/>
      </w:rPr>
    </w:lvl>
    <w:lvl w:ilvl="8" w:tplc="0ABAF1D2">
      <w:numFmt w:val="bullet"/>
      <w:lvlText w:val="•"/>
      <w:lvlJc w:val="left"/>
      <w:pPr>
        <w:ind w:left="8437" w:hanging="286"/>
      </w:pPr>
      <w:rPr>
        <w:rFonts w:hint="default"/>
        <w:lang w:val="en-GB" w:eastAsia="en-GB" w:bidi="en-GB"/>
      </w:rPr>
    </w:lvl>
  </w:abstractNum>
  <w:abstractNum w:abstractNumId="4" w15:restartNumberingAfterBreak="0">
    <w:nsid w:val="3A203055"/>
    <w:multiLevelType w:val="hybridMultilevel"/>
    <w:tmpl w:val="D82E063E"/>
    <w:lvl w:ilvl="0" w:tplc="DCD8DFE4">
      <w:start w:val="6"/>
      <w:numFmt w:val="decimal"/>
      <w:lvlText w:val="%1."/>
      <w:lvlJc w:val="left"/>
      <w:pPr>
        <w:ind w:left="398" w:hanging="286"/>
        <w:jc w:val="left"/>
      </w:pPr>
      <w:rPr>
        <w:rFonts w:ascii="Tahoma" w:eastAsia="Tahoma" w:hAnsi="Tahoma" w:cs="Tahoma" w:hint="default"/>
        <w:b/>
        <w:bCs/>
        <w:w w:val="99"/>
        <w:sz w:val="20"/>
        <w:szCs w:val="20"/>
        <w:lang w:val="en-GB" w:eastAsia="en-GB" w:bidi="en-GB"/>
      </w:rPr>
    </w:lvl>
    <w:lvl w:ilvl="1" w:tplc="C24EB3C2">
      <w:numFmt w:val="bullet"/>
      <w:lvlText w:val="•"/>
      <w:lvlJc w:val="left"/>
      <w:pPr>
        <w:ind w:left="1404" w:hanging="286"/>
      </w:pPr>
      <w:rPr>
        <w:rFonts w:hint="default"/>
        <w:lang w:val="en-GB" w:eastAsia="en-GB" w:bidi="en-GB"/>
      </w:rPr>
    </w:lvl>
    <w:lvl w:ilvl="2" w:tplc="86749D90">
      <w:numFmt w:val="bullet"/>
      <w:lvlText w:val="•"/>
      <w:lvlJc w:val="left"/>
      <w:pPr>
        <w:ind w:left="2409" w:hanging="286"/>
      </w:pPr>
      <w:rPr>
        <w:rFonts w:hint="default"/>
        <w:lang w:val="en-GB" w:eastAsia="en-GB" w:bidi="en-GB"/>
      </w:rPr>
    </w:lvl>
    <w:lvl w:ilvl="3" w:tplc="3D765CCC">
      <w:numFmt w:val="bullet"/>
      <w:lvlText w:val="•"/>
      <w:lvlJc w:val="left"/>
      <w:pPr>
        <w:ind w:left="3413" w:hanging="286"/>
      </w:pPr>
      <w:rPr>
        <w:rFonts w:hint="default"/>
        <w:lang w:val="en-GB" w:eastAsia="en-GB" w:bidi="en-GB"/>
      </w:rPr>
    </w:lvl>
    <w:lvl w:ilvl="4" w:tplc="8512ACCA">
      <w:numFmt w:val="bullet"/>
      <w:lvlText w:val="•"/>
      <w:lvlJc w:val="left"/>
      <w:pPr>
        <w:ind w:left="4418" w:hanging="286"/>
      </w:pPr>
      <w:rPr>
        <w:rFonts w:hint="default"/>
        <w:lang w:val="en-GB" w:eastAsia="en-GB" w:bidi="en-GB"/>
      </w:rPr>
    </w:lvl>
    <w:lvl w:ilvl="5" w:tplc="71EAAD62">
      <w:numFmt w:val="bullet"/>
      <w:lvlText w:val="•"/>
      <w:lvlJc w:val="left"/>
      <w:pPr>
        <w:ind w:left="5423" w:hanging="286"/>
      </w:pPr>
      <w:rPr>
        <w:rFonts w:hint="default"/>
        <w:lang w:val="en-GB" w:eastAsia="en-GB" w:bidi="en-GB"/>
      </w:rPr>
    </w:lvl>
    <w:lvl w:ilvl="6" w:tplc="0448A238">
      <w:numFmt w:val="bullet"/>
      <w:lvlText w:val="•"/>
      <w:lvlJc w:val="left"/>
      <w:pPr>
        <w:ind w:left="6427" w:hanging="286"/>
      </w:pPr>
      <w:rPr>
        <w:rFonts w:hint="default"/>
        <w:lang w:val="en-GB" w:eastAsia="en-GB" w:bidi="en-GB"/>
      </w:rPr>
    </w:lvl>
    <w:lvl w:ilvl="7" w:tplc="C05C15CE">
      <w:numFmt w:val="bullet"/>
      <w:lvlText w:val="•"/>
      <w:lvlJc w:val="left"/>
      <w:pPr>
        <w:ind w:left="7432" w:hanging="286"/>
      </w:pPr>
      <w:rPr>
        <w:rFonts w:hint="default"/>
        <w:lang w:val="en-GB" w:eastAsia="en-GB" w:bidi="en-GB"/>
      </w:rPr>
    </w:lvl>
    <w:lvl w:ilvl="8" w:tplc="C0B2F76A">
      <w:numFmt w:val="bullet"/>
      <w:lvlText w:val="•"/>
      <w:lvlJc w:val="left"/>
      <w:pPr>
        <w:ind w:left="8437" w:hanging="286"/>
      </w:pPr>
      <w:rPr>
        <w:rFonts w:hint="default"/>
        <w:lang w:val="en-GB" w:eastAsia="en-GB" w:bidi="en-GB"/>
      </w:rPr>
    </w:lvl>
  </w:abstractNum>
  <w:abstractNum w:abstractNumId="5" w15:restartNumberingAfterBreak="0">
    <w:nsid w:val="46892A1A"/>
    <w:multiLevelType w:val="hybridMultilevel"/>
    <w:tmpl w:val="C46283F2"/>
    <w:lvl w:ilvl="0" w:tplc="83D86C58">
      <w:numFmt w:val="bullet"/>
      <w:lvlText w:val="•"/>
      <w:lvlJc w:val="left"/>
      <w:pPr>
        <w:ind w:left="431" w:hanging="324"/>
      </w:pPr>
      <w:rPr>
        <w:rFonts w:ascii="Tahoma" w:eastAsia="Tahoma" w:hAnsi="Tahoma" w:cs="Tahoma" w:hint="default"/>
        <w:spacing w:val="-3"/>
        <w:w w:val="99"/>
        <w:sz w:val="18"/>
        <w:szCs w:val="18"/>
        <w:lang w:val="en-GB" w:eastAsia="en-GB" w:bidi="en-GB"/>
      </w:rPr>
    </w:lvl>
    <w:lvl w:ilvl="1" w:tplc="002AB2C2">
      <w:numFmt w:val="bullet"/>
      <w:lvlText w:val="•"/>
      <w:lvlJc w:val="left"/>
      <w:pPr>
        <w:ind w:left="650" w:hanging="324"/>
      </w:pPr>
      <w:rPr>
        <w:rFonts w:hint="default"/>
        <w:lang w:val="en-GB" w:eastAsia="en-GB" w:bidi="en-GB"/>
      </w:rPr>
    </w:lvl>
    <w:lvl w:ilvl="2" w:tplc="480AF858">
      <w:numFmt w:val="bullet"/>
      <w:lvlText w:val="•"/>
      <w:lvlJc w:val="left"/>
      <w:pPr>
        <w:ind w:left="860" w:hanging="324"/>
      </w:pPr>
      <w:rPr>
        <w:rFonts w:hint="default"/>
        <w:lang w:val="en-GB" w:eastAsia="en-GB" w:bidi="en-GB"/>
      </w:rPr>
    </w:lvl>
    <w:lvl w:ilvl="3" w:tplc="FD02C374">
      <w:numFmt w:val="bullet"/>
      <w:lvlText w:val="•"/>
      <w:lvlJc w:val="left"/>
      <w:pPr>
        <w:ind w:left="1070" w:hanging="324"/>
      </w:pPr>
      <w:rPr>
        <w:rFonts w:hint="default"/>
        <w:lang w:val="en-GB" w:eastAsia="en-GB" w:bidi="en-GB"/>
      </w:rPr>
    </w:lvl>
    <w:lvl w:ilvl="4" w:tplc="B5D2BD04">
      <w:numFmt w:val="bullet"/>
      <w:lvlText w:val="•"/>
      <w:lvlJc w:val="left"/>
      <w:pPr>
        <w:ind w:left="1280" w:hanging="324"/>
      </w:pPr>
      <w:rPr>
        <w:rFonts w:hint="default"/>
        <w:lang w:val="en-GB" w:eastAsia="en-GB" w:bidi="en-GB"/>
      </w:rPr>
    </w:lvl>
    <w:lvl w:ilvl="5" w:tplc="E9B2F73E">
      <w:numFmt w:val="bullet"/>
      <w:lvlText w:val="•"/>
      <w:lvlJc w:val="left"/>
      <w:pPr>
        <w:ind w:left="1491" w:hanging="324"/>
      </w:pPr>
      <w:rPr>
        <w:rFonts w:hint="default"/>
        <w:lang w:val="en-GB" w:eastAsia="en-GB" w:bidi="en-GB"/>
      </w:rPr>
    </w:lvl>
    <w:lvl w:ilvl="6" w:tplc="9AD2E31C">
      <w:numFmt w:val="bullet"/>
      <w:lvlText w:val="•"/>
      <w:lvlJc w:val="left"/>
      <w:pPr>
        <w:ind w:left="1701" w:hanging="324"/>
      </w:pPr>
      <w:rPr>
        <w:rFonts w:hint="default"/>
        <w:lang w:val="en-GB" w:eastAsia="en-GB" w:bidi="en-GB"/>
      </w:rPr>
    </w:lvl>
    <w:lvl w:ilvl="7" w:tplc="478C5D2A">
      <w:numFmt w:val="bullet"/>
      <w:lvlText w:val="•"/>
      <w:lvlJc w:val="left"/>
      <w:pPr>
        <w:ind w:left="1911" w:hanging="324"/>
      </w:pPr>
      <w:rPr>
        <w:rFonts w:hint="default"/>
        <w:lang w:val="en-GB" w:eastAsia="en-GB" w:bidi="en-GB"/>
      </w:rPr>
    </w:lvl>
    <w:lvl w:ilvl="8" w:tplc="A5D2FD1A">
      <w:numFmt w:val="bullet"/>
      <w:lvlText w:val="•"/>
      <w:lvlJc w:val="left"/>
      <w:pPr>
        <w:ind w:left="2121" w:hanging="324"/>
      </w:pPr>
      <w:rPr>
        <w:rFonts w:hint="default"/>
        <w:lang w:val="en-GB" w:eastAsia="en-GB" w:bidi="en-GB"/>
      </w:rPr>
    </w:lvl>
  </w:abstractNum>
  <w:abstractNum w:abstractNumId="6" w15:restartNumberingAfterBreak="0">
    <w:nsid w:val="5A6E6C62"/>
    <w:multiLevelType w:val="hybridMultilevel"/>
    <w:tmpl w:val="59C0B12A"/>
    <w:lvl w:ilvl="0" w:tplc="3E222354">
      <w:numFmt w:val="bullet"/>
      <w:lvlText w:val="•"/>
      <w:lvlJc w:val="left"/>
      <w:pPr>
        <w:ind w:left="682" w:hanging="567"/>
      </w:pPr>
      <w:rPr>
        <w:rFonts w:ascii="Tahoma" w:eastAsia="Tahoma" w:hAnsi="Tahoma" w:cs="Tahoma" w:hint="default"/>
        <w:w w:val="99"/>
        <w:sz w:val="20"/>
        <w:szCs w:val="20"/>
        <w:lang w:val="en-GB" w:eastAsia="en-GB" w:bidi="en-GB"/>
      </w:rPr>
    </w:lvl>
    <w:lvl w:ilvl="1" w:tplc="B55C3AE4">
      <w:numFmt w:val="bullet"/>
      <w:lvlText w:val="•"/>
      <w:lvlJc w:val="left"/>
      <w:pPr>
        <w:ind w:left="1656" w:hanging="567"/>
      </w:pPr>
      <w:rPr>
        <w:rFonts w:hint="default"/>
        <w:lang w:val="en-GB" w:eastAsia="en-GB" w:bidi="en-GB"/>
      </w:rPr>
    </w:lvl>
    <w:lvl w:ilvl="2" w:tplc="B20E66BE">
      <w:numFmt w:val="bullet"/>
      <w:lvlText w:val="•"/>
      <w:lvlJc w:val="left"/>
      <w:pPr>
        <w:ind w:left="2633" w:hanging="567"/>
      </w:pPr>
      <w:rPr>
        <w:rFonts w:hint="default"/>
        <w:lang w:val="en-GB" w:eastAsia="en-GB" w:bidi="en-GB"/>
      </w:rPr>
    </w:lvl>
    <w:lvl w:ilvl="3" w:tplc="1B923AFA">
      <w:numFmt w:val="bullet"/>
      <w:lvlText w:val="•"/>
      <w:lvlJc w:val="left"/>
      <w:pPr>
        <w:ind w:left="3609" w:hanging="567"/>
      </w:pPr>
      <w:rPr>
        <w:rFonts w:hint="default"/>
        <w:lang w:val="en-GB" w:eastAsia="en-GB" w:bidi="en-GB"/>
      </w:rPr>
    </w:lvl>
    <w:lvl w:ilvl="4" w:tplc="0D549A04">
      <w:numFmt w:val="bullet"/>
      <w:lvlText w:val="•"/>
      <w:lvlJc w:val="left"/>
      <w:pPr>
        <w:ind w:left="4586" w:hanging="567"/>
      </w:pPr>
      <w:rPr>
        <w:rFonts w:hint="default"/>
        <w:lang w:val="en-GB" w:eastAsia="en-GB" w:bidi="en-GB"/>
      </w:rPr>
    </w:lvl>
    <w:lvl w:ilvl="5" w:tplc="F67A570C">
      <w:numFmt w:val="bullet"/>
      <w:lvlText w:val="•"/>
      <w:lvlJc w:val="left"/>
      <w:pPr>
        <w:ind w:left="5563" w:hanging="567"/>
      </w:pPr>
      <w:rPr>
        <w:rFonts w:hint="default"/>
        <w:lang w:val="en-GB" w:eastAsia="en-GB" w:bidi="en-GB"/>
      </w:rPr>
    </w:lvl>
    <w:lvl w:ilvl="6" w:tplc="040809C0">
      <w:numFmt w:val="bullet"/>
      <w:lvlText w:val="•"/>
      <w:lvlJc w:val="left"/>
      <w:pPr>
        <w:ind w:left="6539" w:hanging="567"/>
      </w:pPr>
      <w:rPr>
        <w:rFonts w:hint="default"/>
        <w:lang w:val="en-GB" w:eastAsia="en-GB" w:bidi="en-GB"/>
      </w:rPr>
    </w:lvl>
    <w:lvl w:ilvl="7" w:tplc="8EA0FCEC">
      <w:numFmt w:val="bullet"/>
      <w:lvlText w:val="•"/>
      <w:lvlJc w:val="left"/>
      <w:pPr>
        <w:ind w:left="7516" w:hanging="567"/>
      </w:pPr>
      <w:rPr>
        <w:rFonts w:hint="default"/>
        <w:lang w:val="en-GB" w:eastAsia="en-GB" w:bidi="en-GB"/>
      </w:rPr>
    </w:lvl>
    <w:lvl w:ilvl="8" w:tplc="B492D84A">
      <w:numFmt w:val="bullet"/>
      <w:lvlText w:val="•"/>
      <w:lvlJc w:val="left"/>
      <w:pPr>
        <w:ind w:left="8493" w:hanging="567"/>
      </w:pPr>
      <w:rPr>
        <w:rFonts w:hint="default"/>
        <w:lang w:val="en-GB" w:eastAsia="en-GB" w:bidi="en-GB"/>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250E1"/>
    <w:rsid w:val="001250E1"/>
    <w:rsid w:val="003D5C08"/>
    <w:rsid w:val="00D56DAA"/>
    <w:rsid w:val="00FA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12E9"/>
  <w15:docId w15:val="{A40F8E2C-A7CC-44DE-B0C3-99F26212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en-GB" w:eastAsia="en-GB" w:bidi="en-GB"/>
    </w:rPr>
  </w:style>
  <w:style w:type="paragraph" w:styleId="Heading1">
    <w:name w:val="heading 1"/>
    <w:basedOn w:val="Normal"/>
    <w:uiPriority w:val="9"/>
    <w:qFormat/>
    <w:pPr>
      <w:ind w:left="540"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98" w:hanging="286"/>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hnmenziesplc.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Harkins</dc:creator>
  <cp:lastModifiedBy>Anne-Marie Bradshaw</cp:lastModifiedBy>
  <cp:revision>2</cp:revision>
  <cp:lastPrinted>2019-09-18T14:41:00Z</cp:lastPrinted>
  <dcterms:created xsi:type="dcterms:W3CDTF">2019-09-18T14:39:00Z</dcterms:created>
  <dcterms:modified xsi:type="dcterms:W3CDTF">2019-09-18T14:44:00Z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17 for Word</vt:lpwstr>
  </property>
  <property fmtid="{D5CDD505-2E9C-101B-9397-08002B2CF9AE}" pid="4" name="LastSaved">
    <vt:filetime>2019-09-18T00:00:00Z</vt:filetime>
  </property>
</Properties>
</file>